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D180" w14:textId="77777777" w:rsidR="00AF4A3D" w:rsidRDefault="00AF4A3D" w:rsidP="00AF4A3D">
      <w:pPr>
        <w:pStyle w:val="Heading1"/>
        <w:spacing w:after="160"/>
      </w:pPr>
      <w:r>
        <w:t>Exit Ticket - Answer Key</w:t>
      </w:r>
    </w:p>
    <w:p w14:paraId="56FC212C" w14:textId="77777777" w:rsidR="00AF4A3D" w:rsidRPr="00C65955" w:rsidRDefault="00AF4A3D" w:rsidP="00AF4A3D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1.12:</w:t>
      </w:r>
      <w:r w:rsidRPr="000C1AB3">
        <w:t xml:space="preserve"> </w:t>
      </w:r>
      <w:r>
        <w:t>Rolling Out Systems and Routines</w:t>
      </w:r>
    </w:p>
    <w:p w14:paraId="219170A0" w14:textId="77777777" w:rsidR="00AF4A3D" w:rsidRPr="00AF4A3D" w:rsidRDefault="00AF4A3D" w:rsidP="00AF4A3D">
      <w:pPr>
        <w:rPr>
          <w:rStyle w:val="eop"/>
          <w:rFonts w:cstheme="minorHAnsi"/>
          <w:color w:val="000000"/>
          <w:shd w:val="clear" w:color="auto" w:fill="FFFFFF"/>
        </w:rPr>
      </w:pPr>
      <w:r w:rsidRPr="00AF4A3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39A6338" w14:textId="77777777" w:rsidR="00AF4A3D" w:rsidRPr="00AF4A3D" w:rsidRDefault="00AF4A3D" w:rsidP="00AF4A3D">
      <w:pPr>
        <w:rPr>
          <w:rStyle w:val="eop"/>
          <w:rFonts w:cstheme="minorHAnsi"/>
          <w:color w:val="000000"/>
          <w:shd w:val="clear" w:color="auto" w:fill="FFFFFF"/>
        </w:rPr>
      </w:pPr>
      <w:r w:rsidRPr="00AF4A3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4DD44EB" w14:textId="77777777" w:rsidR="00AF4A3D" w:rsidRPr="00AF4A3D" w:rsidRDefault="00AF4A3D" w:rsidP="00AF4A3D">
      <w:pPr>
        <w:rPr>
          <w:rStyle w:val="eop"/>
          <w:rFonts w:cstheme="minorHAnsi"/>
          <w:color w:val="000000"/>
          <w:shd w:val="clear" w:color="auto" w:fill="FFFFFF"/>
        </w:rPr>
      </w:pPr>
      <w:r w:rsidRPr="00AF4A3D">
        <w:rPr>
          <w:rStyle w:val="eop"/>
          <w:rFonts w:cstheme="minorHAnsi"/>
          <w:color w:val="000000"/>
          <w:shd w:val="clear" w:color="auto" w:fill="FFFFFF"/>
        </w:rPr>
        <w:t>Review the sample double-plan for the practice of a routine below. Complete the “Potential Pitfalls” and “How to Practice” columns of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1877"/>
        <w:gridCol w:w="2561"/>
        <w:gridCol w:w="2086"/>
        <w:gridCol w:w="2075"/>
      </w:tblGrid>
      <w:tr w:rsidR="00AF4A3D" w14:paraId="1D16EA25" w14:textId="77777777" w:rsidTr="0007366D">
        <w:tc>
          <w:tcPr>
            <w:tcW w:w="961" w:type="dxa"/>
            <w:shd w:val="clear" w:color="auto" w:fill="auto"/>
          </w:tcPr>
          <w:p w14:paraId="27A9C297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 #</w:t>
            </w:r>
          </w:p>
        </w:tc>
        <w:tc>
          <w:tcPr>
            <w:tcW w:w="3264" w:type="dxa"/>
            <w:shd w:val="clear" w:color="auto" w:fill="auto"/>
          </w:tcPr>
          <w:p w14:paraId="369ADED1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 will. . .</w:t>
            </w:r>
          </w:p>
        </w:tc>
        <w:tc>
          <w:tcPr>
            <w:tcW w:w="3510" w:type="dxa"/>
            <w:shd w:val="clear" w:color="auto" w:fill="auto"/>
          </w:tcPr>
          <w:p w14:paraId="6E62C819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Students will. . .</w:t>
            </w:r>
          </w:p>
        </w:tc>
        <w:tc>
          <w:tcPr>
            <w:tcW w:w="3330" w:type="dxa"/>
            <w:shd w:val="clear" w:color="auto" w:fill="auto"/>
          </w:tcPr>
          <w:p w14:paraId="5EA34E8E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Potential Pitfalls</w:t>
            </w:r>
          </w:p>
        </w:tc>
        <w:tc>
          <w:tcPr>
            <w:tcW w:w="3325" w:type="dxa"/>
            <w:shd w:val="clear" w:color="auto" w:fill="auto"/>
          </w:tcPr>
          <w:p w14:paraId="3A0997F2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Practice</w:t>
            </w:r>
          </w:p>
        </w:tc>
      </w:tr>
      <w:tr w:rsidR="00AF4A3D" w:rsidRPr="00231EAC" w14:paraId="66B8749E" w14:textId="77777777" w:rsidTr="0007366D">
        <w:tc>
          <w:tcPr>
            <w:tcW w:w="961" w:type="dxa"/>
          </w:tcPr>
          <w:p w14:paraId="13214F02" w14:textId="77777777" w:rsidR="00AF4A3D" w:rsidRPr="00231EAC" w:rsidRDefault="00AF4A3D" w:rsidP="0007366D">
            <w:pPr>
              <w:spacing w:before="120"/>
            </w:pPr>
            <w:r w:rsidRPr="00231EAC">
              <w:t>1</w:t>
            </w:r>
          </w:p>
        </w:tc>
        <w:tc>
          <w:tcPr>
            <w:tcW w:w="3264" w:type="dxa"/>
          </w:tcPr>
          <w:p w14:paraId="7FE0B0BA" w14:textId="77777777" w:rsidR="00AF4A3D" w:rsidRPr="00B85B8B" w:rsidRDefault="00AF4A3D" w:rsidP="0007366D">
            <w:pPr>
              <w:spacing w:before="120"/>
            </w:pPr>
            <w:r w:rsidRPr="0045546E">
              <w:t>Say, “</w:t>
            </w:r>
            <w:r>
              <w:t>Pause there. Tent your books. Question #___.”</w:t>
            </w:r>
          </w:p>
        </w:tc>
        <w:tc>
          <w:tcPr>
            <w:tcW w:w="3510" w:type="dxa"/>
          </w:tcPr>
          <w:p w14:paraId="69E8C7D4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Tent their books</w:t>
            </w:r>
          </w:p>
          <w:p w14:paraId="2246FE63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Take out their written response packets</w:t>
            </w:r>
          </w:p>
          <w:p w14:paraId="1899E4CC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Turn to the appropriate question #</w:t>
            </w:r>
          </w:p>
          <w:p w14:paraId="62EB2EDD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Clear their desks of their folders.</w:t>
            </w:r>
          </w:p>
          <w:p w14:paraId="7371BC6F" w14:textId="77777777" w:rsidR="00AF4A3D" w:rsidRPr="00231EAC" w:rsidRDefault="00AF4A3D" w:rsidP="00AF4A3D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Pick up their pencils.</w:t>
            </w:r>
          </w:p>
        </w:tc>
        <w:tc>
          <w:tcPr>
            <w:tcW w:w="3330" w:type="dxa"/>
          </w:tcPr>
          <w:p w14:paraId="6D56DA98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Students may not know what it means to “tent” their books.</w:t>
            </w:r>
          </w:p>
          <w:p w14:paraId="380CE531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Students’ desks may become disorganized without a clear workspace.</w:t>
            </w:r>
          </w:p>
          <w:p w14:paraId="61C158E6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  <w:tc>
          <w:tcPr>
            <w:tcW w:w="3325" w:type="dxa"/>
          </w:tcPr>
          <w:p w14:paraId="517C5010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Model “tenting” a book.</w:t>
            </w:r>
          </w:p>
          <w:p w14:paraId="29184DDB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Practice tenting and moving the book to the corner of the desk, taking out the packet and moving the folder off their desk.</w:t>
            </w:r>
          </w:p>
          <w:p w14:paraId="246F8E72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</w:tr>
      <w:tr w:rsidR="00AF4A3D" w:rsidRPr="00231EAC" w14:paraId="4A8F2356" w14:textId="77777777" w:rsidTr="0007366D">
        <w:tc>
          <w:tcPr>
            <w:tcW w:w="961" w:type="dxa"/>
          </w:tcPr>
          <w:p w14:paraId="4D5EBCFF" w14:textId="77777777" w:rsidR="00AF4A3D" w:rsidRPr="00231EAC" w:rsidRDefault="00AF4A3D" w:rsidP="0007366D">
            <w:pPr>
              <w:spacing w:before="120"/>
            </w:pPr>
            <w:r>
              <w:t>2</w:t>
            </w:r>
          </w:p>
        </w:tc>
        <w:tc>
          <w:tcPr>
            <w:tcW w:w="3264" w:type="dxa"/>
          </w:tcPr>
          <w:p w14:paraId="4685562F" w14:textId="77777777" w:rsidR="00AF4A3D" w:rsidRDefault="00AF4A3D" w:rsidP="0007366D">
            <w:pPr>
              <w:spacing w:before="120"/>
            </w:pPr>
            <w:r>
              <w:t>Cold call a student to read the question.</w:t>
            </w:r>
          </w:p>
          <w:p w14:paraId="044810DC" w14:textId="77777777" w:rsidR="00AF4A3D" w:rsidRPr="00231EAC" w:rsidRDefault="00AF4A3D" w:rsidP="0007366D">
            <w:pPr>
              <w:spacing w:before="120"/>
            </w:pPr>
          </w:p>
        </w:tc>
        <w:tc>
          <w:tcPr>
            <w:tcW w:w="3510" w:type="dxa"/>
          </w:tcPr>
          <w:p w14:paraId="5BBB7BD9" w14:textId="77777777" w:rsidR="00AF4A3D" w:rsidRDefault="00AF4A3D" w:rsidP="00AF4A3D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Be ready to read the question when called on.</w:t>
            </w:r>
          </w:p>
          <w:p w14:paraId="428B08F3" w14:textId="77777777" w:rsidR="00AF4A3D" w:rsidRPr="00231EAC" w:rsidRDefault="00AF4A3D" w:rsidP="00AF4A3D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Follow along silently.</w:t>
            </w:r>
          </w:p>
        </w:tc>
        <w:tc>
          <w:tcPr>
            <w:tcW w:w="3330" w:type="dxa"/>
          </w:tcPr>
          <w:p w14:paraId="6AE3394D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Students may get distracted while clearing their desks.</w:t>
            </w:r>
          </w:p>
        </w:tc>
        <w:tc>
          <w:tcPr>
            <w:tcW w:w="3325" w:type="dxa"/>
          </w:tcPr>
          <w:p w14:paraId="2A1A35D0" w14:textId="77777777" w:rsidR="00AF4A3D" w:rsidRPr="00C04786" w:rsidRDefault="00AF4A3D" w:rsidP="0007366D">
            <w:pPr>
              <w:spacing w:before="120" w:after="120"/>
              <w:rPr>
                <w:color w:val="008200"/>
              </w:rPr>
            </w:pPr>
            <w:r w:rsidRPr="00C04786">
              <w:rPr>
                <w:color w:val="008200"/>
              </w:rPr>
              <w:t>Practice clearing desk and immediately turning to the question number, picking up their pencil, and pointing their pencil at the appropriate question.</w:t>
            </w:r>
          </w:p>
        </w:tc>
      </w:tr>
      <w:tr w:rsidR="00AF4A3D" w:rsidRPr="00231EAC" w14:paraId="2EE37437" w14:textId="77777777" w:rsidTr="0007366D">
        <w:tc>
          <w:tcPr>
            <w:tcW w:w="961" w:type="dxa"/>
          </w:tcPr>
          <w:p w14:paraId="704B6B9D" w14:textId="77777777" w:rsidR="00AF4A3D" w:rsidRDefault="00AF4A3D" w:rsidP="0007366D">
            <w:pPr>
              <w:spacing w:before="120"/>
            </w:pPr>
            <w:r>
              <w:t>3</w:t>
            </w:r>
          </w:p>
        </w:tc>
        <w:tc>
          <w:tcPr>
            <w:tcW w:w="3264" w:type="dxa"/>
          </w:tcPr>
          <w:p w14:paraId="186C49EB" w14:textId="77777777" w:rsidR="00AF4A3D" w:rsidRDefault="00AF4A3D" w:rsidP="0007366D">
            <w:pPr>
              <w:spacing w:before="120"/>
            </w:pPr>
            <w:r>
              <w:t>Say, “Please get to work.”</w:t>
            </w:r>
          </w:p>
          <w:p w14:paraId="0D5C74CC" w14:textId="77777777" w:rsidR="00AF4A3D" w:rsidRPr="00231EAC" w:rsidRDefault="00AF4A3D" w:rsidP="0007366D">
            <w:pPr>
              <w:spacing w:before="120" w:after="120"/>
            </w:pPr>
            <w:r>
              <w:t>Set the timer and display it in a place where students can see it.</w:t>
            </w:r>
          </w:p>
        </w:tc>
        <w:tc>
          <w:tcPr>
            <w:tcW w:w="3510" w:type="dxa"/>
          </w:tcPr>
          <w:p w14:paraId="2EF960F8" w14:textId="77777777" w:rsidR="00AF4A3D" w:rsidRDefault="00AF4A3D" w:rsidP="00AF4A3D">
            <w:pPr>
              <w:pStyle w:val="ListParagraph"/>
              <w:numPr>
                <w:ilvl w:val="0"/>
                <w:numId w:val="3"/>
              </w:numPr>
              <w:spacing w:before="120"/>
            </w:pPr>
            <w:r>
              <w:t>Pick up their pencils, open their books, and begin working.</w:t>
            </w:r>
          </w:p>
        </w:tc>
        <w:tc>
          <w:tcPr>
            <w:tcW w:w="3330" w:type="dxa"/>
          </w:tcPr>
          <w:p w14:paraId="3009E00A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Students may not get to work right away.</w:t>
            </w:r>
          </w:p>
        </w:tc>
        <w:tc>
          <w:tcPr>
            <w:tcW w:w="3325" w:type="dxa"/>
          </w:tcPr>
          <w:p w14:paraId="05E4A03A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  <w:r w:rsidRPr="00C04786">
              <w:rPr>
                <w:color w:val="008200"/>
              </w:rPr>
              <w:t>Practice “catching” them doing it right. Practice reminders and corrections.</w:t>
            </w: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30B6D" w14:textId="77777777" w:rsidR="00A16640" w:rsidRDefault="00A16640" w:rsidP="00180877">
      <w:pPr>
        <w:spacing w:after="0" w:line="240" w:lineRule="auto"/>
      </w:pPr>
      <w:r>
        <w:separator/>
      </w:r>
    </w:p>
  </w:endnote>
  <w:endnote w:type="continuationSeparator" w:id="0">
    <w:p w14:paraId="66BA9D08" w14:textId="77777777" w:rsidR="00A16640" w:rsidRDefault="00A1664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6A45818" w:rsidR="004405CD" w:rsidRPr="003F541D" w:rsidRDefault="003F541D" w:rsidP="003F541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0651C" w14:textId="77777777" w:rsidR="00A16640" w:rsidRDefault="00A16640" w:rsidP="00180877">
      <w:pPr>
        <w:spacing w:after="0" w:line="240" w:lineRule="auto"/>
      </w:pPr>
      <w:r>
        <w:separator/>
      </w:r>
    </w:p>
  </w:footnote>
  <w:footnote w:type="continuationSeparator" w:id="0">
    <w:p w14:paraId="65C04BF8" w14:textId="77777777" w:rsidR="00A16640" w:rsidRDefault="00A1664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B61D9"/>
    <w:multiLevelType w:val="hybridMultilevel"/>
    <w:tmpl w:val="0E72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14868"/>
    <w:multiLevelType w:val="hybridMultilevel"/>
    <w:tmpl w:val="0356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B6A99"/>
    <w:multiLevelType w:val="hybridMultilevel"/>
    <w:tmpl w:val="7F46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019208">
    <w:abstractNumId w:val="0"/>
  </w:num>
  <w:num w:numId="2" w16cid:durableId="916941478">
    <w:abstractNumId w:val="2"/>
  </w:num>
  <w:num w:numId="3" w16cid:durableId="408885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F541D"/>
    <w:rsid w:val="004405CD"/>
    <w:rsid w:val="00861830"/>
    <w:rsid w:val="00A16640"/>
    <w:rsid w:val="00AF4A3D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3D"/>
  </w:style>
  <w:style w:type="paragraph" w:styleId="Heading1">
    <w:name w:val="heading 1"/>
    <w:basedOn w:val="Normal"/>
    <w:next w:val="Normal"/>
    <w:link w:val="Heading1Char"/>
    <w:uiPriority w:val="9"/>
    <w:qFormat/>
    <w:rsid w:val="00AF4A3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A3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AF4A3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F4A3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AF4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AF4A3D"/>
    <w:pPr>
      <w:ind w:left="720"/>
      <w:contextualSpacing/>
    </w:pPr>
  </w:style>
  <w:style w:type="character" w:customStyle="1" w:styleId="normaltextrun">
    <w:name w:val="normaltextrun"/>
    <w:basedOn w:val="DefaultParagraphFont"/>
    <w:rsid w:val="00AF4A3D"/>
  </w:style>
  <w:style w:type="character" w:customStyle="1" w:styleId="eop">
    <w:name w:val="eop"/>
    <w:basedOn w:val="DefaultParagraphFont"/>
    <w:rsid w:val="00AF4A3D"/>
  </w:style>
  <w:style w:type="character" w:styleId="Hyperlink">
    <w:name w:val="Hyperlink"/>
    <w:basedOn w:val="DefaultParagraphFont"/>
    <w:uiPriority w:val="99"/>
    <w:unhideWhenUsed/>
    <w:rsid w:val="003F54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1.12: Rolling Out Systems and Routines</vt:lpstr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1.12: Rolling Out Systems and Routines</dc:title>
  <dc:subject>Lesson 1.12: Rolling Out Systems and Routines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2023-08-23T02:47:00Z</dcterms:modified>
</cp:coreProperties>
</file>