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3E728" w14:textId="59C67110" w:rsidR="00861830" w:rsidRPr="000A0172" w:rsidRDefault="20847B65" w:rsidP="20847B65">
      <w:pPr>
        <w:pStyle w:val="Heading1"/>
        <w:spacing w:after="160"/>
        <w:rPr>
          <w:rFonts w:eastAsia="Calibri" w:cstheme="majorHAnsi"/>
          <w:color w:val="000000" w:themeColor="text1"/>
          <w:sz w:val="28"/>
          <w:szCs w:val="28"/>
        </w:rPr>
      </w:pPr>
      <w:r w:rsidRPr="000A0172">
        <w:rPr>
          <w:rFonts w:eastAsia="Calibri" w:cstheme="majorHAnsi"/>
          <w:color w:val="000000" w:themeColor="text1"/>
          <w:sz w:val="28"/>
          <w:szCs w:val="28"/>
        </w:rPr>
        <w:t>Exit Ticket - Answer Key</w:t>
      </w:r>
    </w:p>
    <w:p w14:paraId="6B48634A" w14:textId="77777777" w:rsidR="00EE3CCF" w:rsidRDefault="00EE3CCF" w:rsidP="00EE3CCF">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5.12: Summative Assessments | Paper and Pencil Assessments</w:t>
      </w:r>
    </w:p>
    <w:p w14:paraId="09F562DA" w14:textId="6E9B09B1" w:rsidR="00861830" w:rsidRPr="000A0172" w:rsidRDefault="20847B65" w:rsidP="20847B65">
      <w:pPr>
        <w:rPr>
          <w:rFonts w:eastAsia="Open Sans" w:cstheme="minorHAnsi"/>
          <w:color w:val="000000" w:themeColor="text1"/>
        </w:rPr>
      </w:pPr>
      <w:r w:rsidRPr="000A0172">
        <w:rPr>
          <w:rStyle w:val="eop"/>
          <w:rFonts w:eastAsia="Open Sans" w:cstheme="minorHAnsi"/>
          <w:color w:val="000000" w:themeColor="text1"/>
        </w:rPr>
        <w:t>Name:</w:t>
      </w:r>
    </w:p>
    <w:p w14:paraId="40FE782E" w14:textId="22C4C82F" w:rsidR="00861830" w:rsidRPr="000A0172" w:rsidRDefault="20847B65" w:rsidP="20847B65">
      <w:pPr>
        <w:rPr>
          <w:rFonts w:eastAsia="Open Sans" w:cstheme="minorHAnsi"/>
          <w:color w:val="000000" w:themeColor="text1"/>
        </w:rPr>
      </w:pPr>
      <w:r w:rsidRPr="000A0172">
        <w:rPr>
          <w:rStyle w:val="eop"/>
          <w:rFonts w:eastAsia="Open Sans" w:cstheme="minorHAnsi"/>
          <w:color w:val="000000" w:themeColor="text1"/>
        </w:rPr>
        <w:t>Date:</w:t>
      </w:r>
    </w:p>
    <w:p w14:paraId="4D79386C" w14:textId="6ACDDB2A" w:rsidR="00861830" w:rsidRPr="000A0172" w:rsidRDefault="20847B65" w:rsidP="20847B65">
      <w:pPr>
        <w:rPr>
          <w:rFonts w:eastAsia="Calibri" w:cstheme="minorHAnsi"/>
          <w:color w:val="000000" w:themeColor="text1"/>
        </w:rPr>
      </w:pPr>
      <w:r w:rsidRPr="000A0172">
        <w:rPr>
          <w:rFonts w:eastAsia="Calibri" w:cstheme="minorHAnsi"/>
          <w:color w:val="000000" w:themeColor="text1"/>
        </w:rPr>
        <w:t>Given the scenarios and assessment, indicate whether each is a best practice for pencil and paper assessment and indicate why.</w:t>
      </w:r>
    </w:p>
    <w:tbl>
      <w:tblPr>
        <w:tblStyle w:val="TableGrid"/>
        <w:tblW w:w="0" w:type="auto"/>
        <w:tblLayout w:type="fixed"/>
        <w:tblLook w:val="04A0" w:firstRow="1" w:lastRow="0" w:firstColumn="1" w:lastColumn="0" w:noHBand="0" w:noVBand="1"/>
      </w:tblPr>
      <w:tblGrid>
        <w:gridCol w:w="3667"/>
        <w:gridCol w:w="1534"/>
        <w:gridCol w:w="4159"/>
      </w:tblGrid>
      <w:tr w:rsidR="20847B65" w:rsidRPr="000A0172" w14:paraId="5E04B7FC" w14:textId="77777777" w:rsidTr="003E530A">
        <w:trPr>
          <w:trHeight w:val="885"/>
        </w:trPr>
        <w:tc>
          <w:tcPr>
            <w:tcW w:w="3667" w:type="dxa"/>
            <w:shd w:val="clear" w:color="auto" w:fill="auto"/>
            <w:vAlign w:val="center"/>
          </w:tcPr>
          <w:p w14:paraId="28676F08" w14:textId="600D75AC" w:rsidR="20847B65" w:rsidRPr="000A0172" w:rsidRDefault="20847B65" w:rsidP="000A0172">
            <w:pPr>
              <w:spacing w:before="120" w:after="120" w:line="259" w:lineRule="auto"/>
              <w:jc w:val="center"/>
              <w:rPr>
                <w:rFonts w:eastAsia="Calibri" w:cstheme="minorHAnsi"/>
              </w:rPr>
            </w:pPr>
            <w:r w:rsidRPr="000A0172">
              <w:rPr>
                <w:rFonts w:eastAsia="Calibri" w:cstheme="minorHAnsi"/>
                <w:b/>
                <w:bCs/>
              </w:rPr>
              <w:t>Scenario or Assessment</w:t>
            </w:r>
          </w:p>
        </w:tc>
        <w:tc>
          <w:tcPr>
            <w:tcW w:w="1534" w:type="dxa"/>
            <w:shd w:val="clear" w:color="auto" w:fill="auto"/>
            <w:vAlign w:val="center"/>
          </w:tcPr>
          <w:p w14:paraId="6C5C9555" w14:textId="28796E41" w:rsidR="20847B65" w:rsidRPr="000A0172" w:rsidRDefault="20847B65" w:rsidP="000A0172">
            <w:pPr>
              <w:spacing w:before="120" w:after="120" w:line="259" w:lineRule="auto"/>
              <w:jc w:val="center"/>
              <w:rPr>
                <w:rFonts w:eastAsia="Calibri" w:cstheme="minorHAnsi"/>
              </w:rPr>
            </w:pPr>
            <w:r w:rsidRPr="000A0172">
              <w:rPr>
                <w:rFonts w:eastAsia="Calibri" w:cstheme="minorHAnsi"/>
                <w:b/>
                <w:bCs/>
              </w:rPr>
              <w:t>Is this a best practice?)</w:t>
            </w:r>
          </w:p>
        </w:tc>
        <w:tc>
          <w:tcPr>
            <w:tcW w:w="4159" w:type="dxa"/>
            <w:shd w:val="clear" w:color="auto" w:fill="auto"/>
            <w:vAlign w:val="center"/>
          </w:tcPr>
          <w:p w14:paraId="07A9A02B" w14:textId="58D776D5" w:rsidR="20847B65" w:rsidRPr="000A0172" w:rsidRDefault="20847B65" w:rsidP="000A0172">
            <w:pPr>
              <w:spacing w:before="120" w:after="120" w:line="259" w:lineRule="auto"/>
              <w:jc w:val="center"/>
              <w:rPr>
                <w:rFonts w:eastAsia="Calibri" w:cstheme="minorHAnsi"/>
              </w:rPr>
            </w:pPr>
            <w:r w:rsidRPr="000A0172">
              <w:rPr>
                <w:rFonts w:eastAsia="Calibri" w:cstheme="minorHAnsi"/>
                <w:b/>
                <w:bCs/>
              </w:rPr>
              <w:t>Why or why not?</w:t>
            </w:r>
          </w:p>
        </w:tc>
      </w:tr>
      <w:tr w:rsidR="20847B65" w:rsidRPr="000A0172" w14:paraId="3DEA5B12" w14:textId="77777777" w:rsidTr="003E530A">
        <w:tc>
          <w:tcPr>
            <w:tcW w:w="3667" w:type="dxa"/>
            <w:shd w:val="clear" w:color="auto" w:fill="auto"/>
            <w:vAlign w:val="center"/>
          </w:tcPr>
          <w:p w14:paraId="3A0A19EE" w14:textId="5A50958B" w:rsidR="20847B65" w:rsidRPr="009B3308" w:rsidRDefault="20847B65" w:rsidP="009B3308">
            <w:pPr>
              <w:pStyle w:val="ListParagraph"/>
              <w:numPr>
                <w:ilvl w:val="0"/>
                <w:numId w:val="2"/>
              </w:numPr>
              <w:spacing w:before="120" w:after="120"/>
              <w:rPr>
                <w:rFonts w:eastAsia="Calibri" w:cstheme="minorHAnsi"/>
                <w:color w:val="000000" w:themeColor="text1"/>
              </w:rPr>
            </w:pPr>
            <w:r w:rsidRPr="000A0172">
              <w:rPr>
                <w:rFonts w:eastAsia="Calibri" w:cstheme="minorHAnsi"/>
                <w:color w:val="000000" w:themeColor="text1"/>
              </w:rPr>
              <w:t xml:space="preserve">Mr. Richardson is </w:t>
            </w:r>
            <w:r w:rsidR="009B3308">
              <w:rPr>
                <w:rFonts w:eastAsia="Calibri" w:cstheme="minorHAnsi"/>
                <w:color w:val="000000" w:themeColor="text1"/>
              </w:rPr>
              <w:t>selecting</w:t>
            </w:r>
            <w:r w:rsidRPr="009B3308">
              <w:rPr>
                <w:rFonts w:eastAsia="Calibri" w:cstheme="minorHAnsi"/>
                <w:color w:val="000000" w:themeColor="text1"/>
              </w:rPr>
              <w:t xml:space="preserve"> assessment questions for his final exam from a question bank in his curriculum.  The class has been reading a play.  Mr. Richardson selected some questions that test whether students know the main plot points and characters to assess whether they recall what they read. He also needs them to show they understand some of the deeper meanings of the text so selected some questions to get them to explain the motivation of the </w:t>
            </w:r>
            <w:proofErr w:type="spellStart"/>
            <w:r w:rsidRPr="009B3308">
              <w:rPr>
                <w:rFonts w:eastAsia="Calibri" w:cstheme="minorHAnsi"/>
                <w:color w:val="000000" w:themeColor="text1"/>
              </w:rPr>
              <w:t>some</w:t>
            </w:r>
            <w:proofErr w:type="spellEnd"/>
            <w:r w:rsidRPr="009B3308">
              <w:rPr>
                <w:rFonts w:eastAsia="Calibri" w:cstheme="minorHAnsi"/>
                <w:color w:val="000000" w:themeColor="text1"/>
              </w:rPr>
              <w:t xml:space="preserve"> of key characters and cite textual evidence to support their claim.</w:t>
            </w:r>
          </w:p>
        </w:tc>
        <w:tc>
          <w:tcPr>
            <w:tcW w:w="1534" w:type="dxa"/>
            <w:shd w:val="clear" w:color="auto" w:fill="auto"/>
            <w:vAlign w:val="center"/>
          </w:tcPr>
          <w:p w14:paraId="6E87BDDF" w14:textId="01901109"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Yes.</w:t>
            </w:r>
          </w:p>
        </w:tc>
        <w:tc>
          <w:tcPr>
            <w:tcW w:w="4159" w:type="dxa"/>
            <w:shd w:val="clear" w:color="auto" w:fill="auto"/>
            <w:vAlign w:val="center"/>
          </w:tcPr>
          <w:p w14:paraId="72C07A5A" w14:textId="643084AC"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 xml:space="preserve">Some questions can focus on basic facts and </w:t>
            </w:r>
            <w:r w:rsidR="00DE1E95" w:rsidRPr="000A0172">
              <w:rPr>
                <w:rFonts w:eastAsia="Calibri" w:cstheme="minorHAnsi"/>
                <w:i/>
                <w:iCs/>
                <w:color w:val="008000"/>
              </w:rPr>
              <w:t>recall,</w:t>
            </w:r>
            <w:r w:rsidRPr="000A0172">
              <w:rPr>
                <w:rFonts w:eastAsia="Calibri" w:cstheme="minorHAnsi"/>
                <w:i/>
                <w:iCs/>
                <w:color w:val="008000"/>
              </w:rPr>
              <w:t xml:space="preserve"> and some questions should require deeper cognitive engagement.</w:t>
            </w:r>
          </w:p>
        </w:tc>
      </w:tr>
      <w:tr w:rsidR="20847B65" w:rsidRPr="000A0172" w14:paraId="2C6FE49F" w14:textId="77777777" w:rsidTr="003E530A">
        <w:trPr>
          <w:trHeight w:val="885"/>
        </w:trPr>
        <w:tc>
          <w:tcPr>
            <w:tcW w:w="3667" w:type="dxa"/>
            <w:shd w:val="clear" w:color="auto" w:fill="auto"/>
            <w:vAlign w:val="center"/>
          </w:tcPr>
          <w:p w14:paraId="31DCCD74" w14:textId="26F1627B" w:rsidR="20847B65" w:rsidRPr="000A0172" w:rsidRDefault="20847B65" w:rsidP="000A0172">
            <w:pPr>
              <w:pStyle w:val="ListParagraph"/>
              <w:numPr>
                <w:ilvl w:val="0"/>
                <w:numId w:val="2"/>
              </w:numPr>
              <w:spacing w:before="120" w:after="120" w:line="259" w:lineRule="auto"/>
              <w:rPr>
                <w:rFonts w:eastAsia="Calibri" w:cstheme="minorHAnsi"/>
                <w:color w:val="000000" w:themeColor="text1"/>
              </w:rPr>
            </w:pPr>
            <w:r w:rsidRPr="000A0172">
              <w:rPr>
                <w:rFonts w:eastAsia="Calibri" w:cstheme="minorHAnsi"/>
                <w:color w:val="000000" w:themeColor="text1"/>
              </w:rPr>
              <w:t xml:space="preserve">Ms. </w:t>
            </w:r>
            <w:r w:rsidR="005E4382" w:rsidRPr="000A0172">
              <w:rPr>
                <w:rFonts w:eastAsia="Calibri" w:cstheme="minorHAnsi"/>
                <w:color w:val="000000" w:themeColor="text1"/>
              </w:rPr>
              <w:t>Jimenez</w:t>
            </w:r>
            <w:r w:rsidRPr="000A0172">
              <w:rPr>
                <w:rFonts w:eastAsia="Calibri" w:cstheme="minorHAnsi"/>
                <w:color w:val="000000" w:themeColor="text1"/>
              </w:rPr>
              <w:t xml:space="preserve"> gets the results back from end of quarter assessment and sees that three students failed the test and there is little indication that they have understood the content. They are 11</w:t>
            </w:r>
            <w:r w:rsidRPr="000A0172">
              <w:rPr>
                <w:rFonts w:eastAsia="Calibri" w:cstheme="minorHAnsi"/>
                <w:color w:val="000000" w:themeColor="text1"/>
                <w:vertAlign w:val="superscript"/>
              </w:rPr>
              <w:t>th</w:t>
            </w:r>
            <w:r w:rsidRPr="000A0172">
              <w:rPr>
                <w:rFonts w:eastAsia="Calibri" w:cstheme="minorHAnsi"/>
                <w:color w:val="000000" w:themeColor="text1"/>
              </w:rPr>
              <w:t xml:space="preserve"> graders and even though she is tempted to say they need to be accountable for their own learning, she sets up </w:t>
            </w:r>
            <w:r w:rsidRPr="000A0172">
              <w:rPr>
                <w:rFonts w:eastAsia="Calibri" w:cstheme="minorHAnsi"/>
                <w:color w:val="000000" w:themeColor="text1"/>
              </w:rPr>
              <w:lastRenderedPageBreak/>
              <w:t xml:space="preserve">individual meetings with them after school to talk about the results and </w:t>
            </w:r>
            <w:proofErr w:type="gramStart"/>
            <w:r w:rsidRPr="000A0172">
              <w:rPr>
                <w:rFonts w:eastAsia="Calibri" w:cstheme="minorHAnsi"/>
                <w:color w:val="000000" w:themeColor="text1"/>
              </w:rPr>
              <w:t>make a plan</w:t>
            </w:r>
            <w:proofErr w:type="gramEnd"/>
            <w:r w:rsidRPr="000A0172">
              <w:rPr>
                <w:rFonts w:eastAsia="Calibri" w:cstheme="minorHAnsi"/>
                <w:color w:val="000000" w:themeColor="text1"/>
              </w:rPr>
              <w:t xml:space="preserve"> to improve their learning.  Additionally, she talks with each student about a future opportunity to retake the test.</w:t>
            </w:r>
          </w:p>
        </w:tc>
        <w:tc>
          <w:tcPr>
            <w:tcW w:w="1534" w:type="dxa"/>
            <w:shd w:val="clear" w:color="auto" w:fill="auto"/>
            <w:vAlign w:val="center"/>
          </w:tcPr>
          <w:p w14:paraId="43E0163E" w14:textId="2C1DD83E"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lastRenderedPageBreak/>
              <w:t xml:space="preserve">Yes. </w:t>
            </w:r>
          </w:p>
        </w:tc>
        <w:tc>
          <w:tcPr>
            <w:tcW w:w="4159" w:type="dxa"/>
            <w:shd w:val="clear" w:color="auto" w:fill="auto"/>
            <w:vAlign w:val="center"/>
          </w:tcPr>
          <w:p w14:paraId="1DD8512D" w14:textId="2CF3F43D"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 xml:space="preserve">Ms. Jimenez uses the test results to </w:t>
            </w:r>
            <w:r w:rsidR="00DE1E95" w:rsidRPr="000A0172">
              <w:rPr>
                <w:rFonts w:eastAsia="Calibri" w:cstheme="minorHAnsi"/>
                <w:i/>
                <w:iCs/>
                <w:color w:val="008000"/>
              </w:rPr>
              <w:t>act</w:t>
            </w:r>
            <w:r w:rsidRPr="000A0172">
              <w:rPr>
                <w:rFonts w:eastAsia="Calibri" w:cstheme="minorHAnsi"/>
                <w:i/>
                <w:iCs/>
                <w:color w:val="008000"/>
              </w:rPr>
              <w:t xml:space="preserve"> for </w:t>
            </w:r>
            <w:proofErr w:type="gramStart"/>
            <w:r w:rsidRPr="000A0172">
              <w:rPr>
                <w:rFonts w:eastAsia="Calibri" w:cstheme="minorHAnsi"/>
                <w:i/>
                <w:iCs/>
                <w:color w:val="008000"/>
              </w:rPr>
              <w:t>particular students</w:t>
            </w:r>
            <w:proofErr w:type="gramEnd"/>
            <w:r w:rsidRPr="000A0172">
              <w:rPr>
                <w:rFonts w:eastAsia="Calibri" w:cstheme="minorHAnsi"/>
                <w:i/>
                <w:iCs/>
                <w:color w:val="008000"/>
              </w:rPr>
              <w:t xml:space="preserve"> that are struggling by setting up individual meetings.  She also is giving them a chance to retake the test </w:t>
            </w:r>
          </w:p>
        </w:tc>
      </w:tr>
      <w:tr w:rsidR="20847B65" w:rsidRPr="000A0172" w14:paraId="75B24EC8" w14:textId="77777777" w:rsidTr="003E530A">
        <w:trPr>
          <w:trHeight w:val="930"/>
        </w:trPr>
        <w:tc>
          <w:tcPr>
            <w:tcW w:w="3667" w:type="dxa"/>
            <w:shd w:val="clear" w:color="auto" w:fill="auto"/>
            <w:vAlign w:val="center"/>
          </w:tcPr>
          <w:p w14:paraId="59AE8003" w14:textId="7DAE0F58" w:rsidR="20847B65" w:rsidRPr="000A0172" w:rsidRDefault="20847B65" w:rsidP="000A0172">
            <w:pPr>
              <w:pStyle w:val="ListParagraph"/>
              <w:numPr>
                <w:ilvl w:val="0"/>
                <w:numId w:val="2"/>
              </w:numPr>
              <w:spacing w:before="120" w:after="120" w:line="259" w:lineRule="auto"/>
              <w:rPr>
                <w:rFonts w:eastAsia="Calibri" w:cstheme="minorHAnsi"/>
                <w:color w:val="000000" w:themeColor="text1"/>
              </w:rPr>
            </w:pPr>
            <w:r w:rsidRPr="000A0172">
              <w:rPr>
                <w:rFonts w:eastAsia="Calibri" w:cstheme="minorHAnsi"/>
                <w:color w:val="000000" w:themeColor="text1"/>
              </w:rPr>
              <w:t>Before students take her mid-year test, Ms. Watson gives students a practice test that has very similar directions and questions.  She gives students time before the practice test to read the directions and ask any questions.  She collects the practice test and notices that some students misunderstood some of the directions and used that information to clarify during the actual mid-year test.</w:t>
            </w:r>
          </w:p>
        </w:tc>
        <w:tc>
          <w:tcPr>
            <w:tcW w:w="1534" w:type="dxa"/>
            <w:shd w:val="clear" w:color="auto" w:fill="auto"/>
            <w:vAlign w:val="center"/>
          </w:tcPr>
          <w:p w14:paraId="1410795B" w14:textId="2F5B927D"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Yes.</w:t>
            </w:r>
          </w:p>
        </w:tc>
        <w:tc>
          <w:tcPr>
            <w:tcW w:w="4159" w:type="dxa"/>
            <w:shd w:val="clear" w:color="auto" w:fill="auto"/>
            <w:vAlign w:val="center"/>
          </w:tcPr>
          <w:p w14:paraId="5B475E8C" w14:textId="00BE8AC3"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She is both giving kids a chance to practice what will be on the test (No surprises) and she is being careful to make sure the directions are clear for students on her mid-year exam.</w:t>
            </w:r>
          </w:p>
        </w:tc>
      </w:tr>
      <w:tr w:rsidR="20847B65" w:rsidRPr="000A0172" w14:paraId="7DFB4648" w14:textId="77777777" w:rsidTr="003E530A">
        <w:trPr>
          <w:trHeight w:val="885"/>
        </w:trPr>
        <w:tc>
          <w:tcPr>
            <w:tcW w:w="3667" w:type="dxa"/>
            <w:shd w:val="clear" w:color="auto" w:fill="auto"/>
            <w:vAlign w:val="center"/>
          </w:tcPr>
          <w:p w14:paraId="1A6409AA" w14:textId="4646BC5D" w:rsidR="20847B65" w:rsidRPr="000A0172" w:rsidRDefault="20847B65" w:rsidP="000A0172">
            <w:pPr>
              <w:pStyle w:val="ListParagraph"/>
              <w:numPr>
                <w:ilvl w:val="0"/>
                <w:numId w:val="2"/>
              </w:numPr>
              <w:spacing w:before="120" w:after="120" w:line="259" w:lineRule="auto"/>
              <w:rPr>
                <w:rFonts w:eastAsia="Calibri" w:cstheme="minorHAnsi"/>
                <w:color w:val="000000" w:themeColor="text1"/>
              </w:rPr>
            </w:pPr>
            <w:r w:rsidRPr="000A0172">
              <w:rPr>
                <w:rFonts w:eastAsia="Calibri" w:cstheme="minorHAnsi"/>
                <w:color w:val="000000" w:themeColor="text1"/>
              </w:rPr>
              <w:t>Mr. Whitley decides he will play music while his students take their mid-term exam.  Some of the music that he plays is currently popular and some of the students respond to the music positively when it is played during the test.</w:t>
            </w:r>
          </w:p>
        </w:tc>
        <w:tc>
          <w:tcPr>
            <w:tcW w:w="1534" w:type="dxa"/>
            <w:shd w:val="clear" w:color="auto" w:fill="auto"/>
            <w:vAlign w:val="center"/>
          </w:tcPr>
          <w:p w14:paraId="6E3A0281" w14:textId="54912432"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No.</w:t>
            </w:r>
          </w:p>
        </w:tc>
        <w:tc>
          <w:tcPr>
            <w:tcW w:w="4159" w:type="dxa"/>
            <w:shd w:val="clear" w:color="auto" w:fill="auto"/>
            <w:vAlign w:val="center"/>
          </w:tcPr>
          <w:p w14:paraId="747725AD" w14:textId="51B7596B" w:rsidR="20847B65" w:rsidRPr="000A0172" w:rsidRDefault="20847B65" w:rsidP="000A0172">
            <w:pPr>
              <w:spacing w:before="120" w:after="120" w:line="259" w:lineRule="auto"/>
              <w:rPr>
                <w:rFonts w:eastAsia="Calibri" w:cstheme="minorHAnsi"/>
                <w:color w:val="008000"/>
              </w:rPr>
            </w:pPr>
            <w:r w:rsidRPr="000A0172">
              <w:rPr>
                <w:rFonts w:eastAsia="Calibri" w:cstheme="minorHAnsi"/>
                <w:i/>
                <w:iCs/>
                <w:color w:val="008000"/>
              </w:rPr>
              <w:t>While there may be occasions when playing music in class is helpful or appropriate, it is likely not during a higher-stakes test. By the reaction of the students, their attention is clearly divided by the music and not allowing them to focus their attention on the content of the test and doing their best.</w:t>
            </w:r>
          </w:p>
        </w:tc>
      </w:tr>
    </w:tbl>
    <w:p w14:paraId="4C438FAA" w14:textId="1E4DE6A2" w:rsidR="00861830" w:rsidRDefault="00861830" w:rsidP="20847B65"/>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 w:type="continuationNotice" w:id="1">
    <w:p w14:paraId="792A1D4B" w14:textId="77777777" w:rsidR="002D0E46" w:rsidRDefault="002D0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945B75F" w:rsidR="004405CD" w:rsidRPr="00DE1E95" w:rsidRDefault="00DE1E95" w:rsidP="00DE1E9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 w:type="continuationNotice" w:id="1">
    <w:p w14:paraId="40291C86" w14:textId="77777777" w:rsidR="002D0E46" w:rsidRDefault="002D0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2E3B705" w:rsidR="00180877" w:rsidRPr="00180877" w:rsidRDefault="00180877" w:rsidP="00DE1E9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7690B"/>
    <w:multiLevelType w:val="hybridMultilevel"/>
    <w:tmpl w:val="6A2EED58"/>
    <w:lvl w:ilvl="0" w:tplc="D5AE17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3B105F"/>
    <w:multiLevelType w:val="hybridMultilevel"/>
    <w:tmpl w:val="FFFFFFFF"/>
    <w:lvl w:ilvl="0" w:tplc="F050E190">
      <w:start w:val="1"/>
      <w:numFmt w:val="upperLetter"/>
      <w:lvlText w:val="%1)"/>
      <w:lvlJc w:val="left"/>
      <w:pPr>
        <w:ind w:left="720" w:hanging="360"/>
      </w:pPr>
    </w:lvl>
    <w:lvl w:ilvl="1" w:tplc="122A30D2">
      <w:start w:val="1"/>
      <w:numFmt w:val="lowerLetter"/>
      <w:lvlText w:val="%2."/>
      <w:lvlJc w:val="left"/>
      <w:pPr>
        <w:ind w:left="1440" w:hanging="360"/>
      </w:pPr>
    </w:lvl>
    <w:lvl w:ilvl="2" w:tplc="7248BCF6">
      <w:start w:val="1"/>
      <w:numFmt w:val="lowerRoman"/>
      <w:lvlText w:val="%3."/>
      <w:lvlJc w:val="right"/>
      <w:pPr>
        <w:ind w:left="2160" w:hanging="180"/>
      </w:pPr>
    </w:lvl>
    <w:lvl w:ilvl="3" w:tplc="B6E4F2C0">
      <w:start w:val="1"/>
      <w:numFmt w:val="decimal"/>
      <w:lvlText w:val="%4."/>
      <w:lvlJc w:val="left"/>
      <w:pPr>
        <w:ind w:left="2880" w:hanging="360"/>
      </w:pPr>
    </w:lvl>
    <w:lvl w:ilvl="4" w:tplc="322AF942">
      <w:start w:val="1"/>
      <w:numFmt w:val="lowerLetter"/>
      <w:lvlText w:val="%5."/>
      <w:lvlJc w:val="left"/>
      <w:pPr>
        <w:ind w:left="3600" w:hanging="360"/>
      </w:pPr>
    </w:lvl>
    <w:lvl w:ilvl="5" w:tplc="25BAC5EE">
      <w:start w:val="1"/>
      <w:numFmt w:val="lowerRoman"/>
      <w:lvlText w:val="%6."/>
      <w:lvlJc w:val="right"/>
      <w:pPr>
        <w:ind w:left="4320" w:hanging="180"/>
      </w:pPr>
    </w:lvl>
    <w:lvl w:ilvl="6" w:tplc="BA422650">
      <w:start w:val="1"/>
      <w:numFmt w:val="decimal"/>
      <w:lvlText w:val="%7."/>
      <w:lvlJc w:val="left"/>
      <w:pPr>
        <w:ind w:left="5040" w:hanging="360"/>
      </w:pPr>
    </w:lvl>
    <w:lvl w:ilvl="7" w:tplc="55AE53A6">
      <w:start w:val="1"/>
      <w:numFmt w:val="lowerLetter"/>
      <w:lvlText w:val="%8."/>
      <w:lvlJc w:val="left"/>
      <w:pPr>
        <w:ind w:left="5760" w:hanging="360"/>
      </w:pPr>
    </w:lvl>
    <w:lvl w:ilvl="8" w:tplc="9C9447EC">
      <w:start w:val="1"/>
      <w:numFmt w:val="lowerRoman"/>
      <w:lvlText w:val="%9."/>
      <w:lvlJc w:val="right"/>
      <w:pPr>
        <w:ind w:left="6480" w:hanging="180"/>
      </w:pPr>
    </w:lvl>
  </w:abstractNum>
  <w:num w:numId="1" w16cid:durableId="467866625">
    <w:abstractNumId w:val="1"/>
  </w:num>
  <w:num w:numId="2" w16cid:durableId="179078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A0172"/>
    <w:rsid w:val="001270A1"/>
    <w:rsid w:val="00180877"/>
    <w:rsid w:val="00237B3F"/>
    <w:rsid w:val="002D0E46"/>
    <w:rsid w:val="003E530A"/>
    <w:rsid w:val="004405CD"/>
    <w:rsid w:val="00595078"/>
    <w:rsid w:val="005E4382"/>
    <w:rsid w:val="00861830"/>
    <w:rsid w:val="009B3308"/>
    <w:rsid w:val="00A0644D"/>
    <w:rsid w:val="00A62834"/>
    <w:rsid w:val="00B1262D"/>
    <w:rsid w:val="00BF357D"/>
    <w:rsid w:val="00CF5805"/>
    <w:rsid w:val="00DA048A"/>
    <w:rsid w:val="00DC62B1"/>
    <w:rsid w:val="00DE1E95"/>
    <w:rsid w:val="00EA19D5"/>
    <w:rsid w:val="00EB2F20"/>
    <w:rsid w:val="00EE3CCF"/>
    <w:rsid w:val="00F06995"/>
    <w:rsid w:val="20847B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B382D1F"/>
  <w15:chartTrackingRefBased/>
  <w15:docId w15:val="{6F7E1251-0D32-4AA2-9697-6562BE8B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eop">
    <w:name w:val="eop"/>
    <w:basedOn w:val="DefaultParagraphFont"/>
    <w:uiPriority w:val="1"/>
    <w:rsid w:val="20847B65"/>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sid w:val="00DE1E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5.12: Summative Assessments | Paper and Pencil Assessments</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5.12: Summative Assessments | Paper and Pencil Assessments</dc:title>
  <dc:subject>Lesson 5.12: Summative Assessments | Paper and Pencil Assessments</dc:subject>
  <dc:creator>Texas Education Agency</dc:creator>
  <cp:keywords/>
  <dc:description/>
  <cp:lastModifiedBy>White (she/her), Whitney</cp:lastModifiedBy>
  <cp:revision>18</cp:revision>
  <dcterms:created xsi:type="dcterms:W3CDTF">2022-05-26T02:20:00Z</dcterms:created>
  <dcterms:modified xsi:type="dcterms:W3CDTF">2023-08-30T13:47:00Z</dcterms:modified>
</cp:coreProperties>
</file>