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04E8E" w14:textId="19F0CB85" w:rsidR="00D84C42" w:rsidRPr="00D84C42" w:rsidRDefault="00D84C42" w:rsidP="00D84C42">
      <w:pPr>
        <w:outlineLvl w:val="0"/>
        <w:rPr>
          <w:rFonts w:ascii="Calibri" w:eastAsia="Calibri" w:hAnsi="Calibri" w:cs="Open Sans"/>
          <w:bCs/>
          <w:sz w:val="28"/>
          <w:szCs w:val="20"/>
        </w:rPr>
      </w:pPr>
      <w:r w:rsidRPr="00D84C42">
        <w:rPr>
          <w:rFonts w:ascii="Calibri" w:eastAsia="Calibri" w:hAnsi="Calibri" w:cs="Open Sans"/>
          <w:bCs/>
          <w:sz w:val="28"/>
          <w:szCs w:val="20"/>
        </w:rPr>
        <w:t>Exit Ticket</w:t>
      </w:r>
    </w:p>
    <w:p w14:paraId="0596C18B" w14:textId="77777777" w:rsidR="0055127F" w:rsidRPr="00545A6D" w:rsidRDefault="0055127F" w:rsidP="0055127F">
      <w:pPr>
        <w:pBdr>
          <w:bottom w:val="single" w:sz="6" w:space="1" w:color="auto"/>
        </w:pBdr>
        <w:outlineLvl w:val="1"/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</w:pPr>
      <w:r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  <w:t>Lesson 8.09: Comprehension</w:t>
      </w:r>
    </w:p>
    <w:p w14:paraId="59004B73" w14:textId="77777777" w:rsidR="00D84C42" w:rsidRPr="0055127F" w:rsidRDefault="00D84C42" w:rsidP="00D84C42">
      <w:pPr>
        <w:rPr>
          <w:rFonts w:eastAsia="Calibri" w:cstheme="minorHAnsi"/>
          <w:color w:val="000000"/>
          <w:shd w:val="clear" w:color="auto" w:fill="FFFFFF"/>
        </w:rPr>
      </w:pPr>
      <w:r w:rsidRPr="0055127F">
        <w:rPr>
          <w:rFonts w:eastAsia="Calibri" w:cstheme="minorHAnsi"/>
          <w:color w:val="000000"/>
          <w:shd w:val="clear" w:color="auto" w:fill="FFFFFF"/>
        </w:rPr>
        <w:t>Name:</w:t>
      </w:r>
    </w:p>
    <w:p w14:paraId="7B5B6C37" w14:textId="77777777" w:rsidR="00D84C42" w:rsidRPr="0055127F" w:rsidRDefault="00D84C42" w:rsidP="00D84C42">
      <w:pPr>
        <w:rPr>
          <w:rFonts w:eastAsia="Calibri" w:cstheme="minorHAnsi"/>
          <w:color w:val="000000"/>
          <w:shd w:val="clear" w:color="auto" w:fill="FFFFFF"/>
        </w:rPr>
      </w:pPr>
      <w:r w:rsidRPr="0055127F">
        <w:rPr>
          <w:rFonts w:eastAsia="Calibri" w:cstheme="minorHAnsi"/>
          <w:color w:val="000000"/>
          <w:shd w:val="clear" w:color="auto" w:fill="FFFFFF"/>
        </w:rPr>
        <w:t>Date:</w:t>
      </w:r>
    </w:p>
    <w:p w14:paraId="7D537A54" w14:textId="77777777" w:rsidR="00D84C42" w:rsidRPr="00D84C42" w:rsidRDefault="00D84C42" w:rsidP="00D84C42">
      <w:pPr>
        <w:rPr>
          <w:rFonts w:ascii="Open Sans" w:eastAsia="Calibri" w:hAnsi="Open Sans" w:cs="Open Sans"/>
          <w:color w:val="000000"/>
          <w:sz w:val="20"/>
          <w:szCs w:val="20"/>
          <w:shd w:val="clear" w:color="auto" w:fill="FFFFFF"/>
        </w:rPr>
      </w:pPr>
    </w:p>
    <w:p w14:paraId="0688EE91" w14:textId="77777777" w:rsidR="00D84C42" w:rsidRPr="00D84C42" w:rsidRDefault="00D84C42" w:rsidP="00D84C42">
      <w:pPr>
        <w:spacing w:before="100" w:beforeAutospacing="1" w:after="0" w:afterAutospacing="1" w:line="240" w:lineRule="auto"/>
        <w:textAlignment w:val="baseline"/>
        <w:rPr>
          <w:rFonts w:ascii="Calibri" w:eastAsia="Times New Roman" w:hAnsi="Calibri" w:cs="Calibri"/>
          <w:b/>
          <w:bCs/>
        </w:rPr>
      </w:pPr>
      <w:r w:rsidRPr="00D84C42">
        <w:rPr>
          <w:rFonts w:ascii="Calibri" w:eastAsia="Times New Roman" w:hAnsi="Calibri" w:cs="Calibri"/>
          <w:b/>
          <w:bCs/>
        </w:rPr>
        <w:t>What are the three guidelines for representation? How does each guideline provide access to rigorous content for all students?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D84C42" w:rsidRPr="00D84C42" w14:paraId="4BD860E6" w14:textId="77777777" w:rsidTr="00AE341E">
        <w:tc>
          <w:tcPr>
            <w:tcW w:w="2965" w:type="dxa"/>
          </w:tcPr>
          <w:p w14:paraId="4E34E281" w14:textId="79E95508" w:rsidR="00D84C42" w:rsidRPr="00D84C42" w:rsidRDefault="00D84C42" w:rsidP="00D84C42">
            <w:pPr>
              <w:spacing w:before="100" w:beforeAutospacing="1" w:afterAutospacing="1"/>
              <w:textAlignment w:val="baseline"/>
              <w:rPr>
                <w:rFonts w:ascii="Calibri" w:eastAsia="Times New Roman" w:hAnsi="Calibri" w:cs="Calibri"/>
                <w:i/>
                <w:iCs/>
                <w:color w:val="008000"/>
              </w:rPr>
            </w:pPr>
          </w:p>
        </w:tc>
        <w:tc>
          <w:tcPr>
            <w:tcW w:w="6385" w:type="dxa"/>
          </w:tcPr>
          <w:p w14:paraId="5DE240AF" w14:textId="6F325B66" w:rsidR="00D84C42" w:rsidRPr="00D84C42" w:rsidRDefault="00D84C42" w:rsidP="00D84C42">
            <w:pPr>
              <w:spacing w:before="100" w:beforeAutospacing="1" w:afterAutospacing="1"/>
              <w:textAlignment w:val="baseline"/>
              <w:rPr>
                <w:rFonts w:ascii="Calibri" w:eastAsia="Times New Roman" w:hAnsi="Calibri" w:cs="Calibri"/>
                <w:i/>
                <w:iCs/>
                <w:color w:val="008000"/>
              </w:rPr>
            </w:pPr>
          </w:p>
        </w:tc>
      </w:tr>
      <w:tr w:rsidR="00D84C42" w:rsidRPr="00D84C42" w14:paraId="5C98112B" w14:textId="77777777" w:rsidTr="00AE341E">
        <w:tc>
          <w:tcPr>
            <w:tcW w:w="2965" w:type="dxa"/>
          </w:tcPr>
          <w:p w14:paraId="470A43E7" w14:textId="719DC978" w:rsidR="00D84C42" w:rsidRPr="00D84C42" w:rsidRDefault="00D84C42" w:rsidP="00D84C42">
            <w:pPr>
              <w:spacing w:before="100" w:beforeAutospacing="1" w:afterAutospacing="1"/>
              <w:textAlignment w:val="baseline"/>
              <w:rPr>
                <w:rFonts w:ascii="Calibri" w:eastAsia="Times New Roman" w:hAnsi="Calibri" w:cs="Calibri"/>
                <w:i/>
                <w:iCs/>
                <w:color w:val="008000"/>
              </w:rPr>
            </w:pPr>
          </w:p>
        </w:tc>
        <w:tc>
          <w:tcPr>
            <w:tcW w:w="6385" w:type="dxa"/>
          </w:tcPr>
          <w:p w14:paraId="6FDBC16B" w14:textId="07701337" w:rsidR="00D84C42" w:rsidRPr="00D84C42" w:rsidRDefault="00D84C42" w:rsidP="00D84C42">
            <w:pPr>
              <w:spacing w:before="100" w:beforeAutospacing="1" w:afterAutospacing="1"/>
              <w:textAlignment w:val="baseline"/>
              <w:rPr>
                <w:rFonts w:ascii="Calibri" w:eastAsia="Times New Roman" w:hAnsi="Calibri" w:cs="Calibri"/>
                <w:i/>
                <w:iCs/>
                <w:color w:val="008000"/>
              </w:rPr>
            </w:pPr>
          </w:p>
        </w:tc>
      </w:tr>
      <w:tr w:rsidR="00D84C42" w:rsidRPr="00D84C42" w14:paraId="30626967" w14:textId="77777777" w:rsidTr="00AE341E">
        <w:tc>
          <w:tcPr>
            <w:tcW w:w="2965" w:type="dxa"/>
          </w:tcPr>
          <w:p w14:paraId="50D77CA8" w14:textId="34DA27C1" w:rsidR="00D84C42" w:rsidRPr="00D84C42" w:rsidRDefault="00D84C42" w:rsidP="00D84C42">
            <w:pPr>
              <w:spacing w:before="100" w:beforeAutospacing="1" w:afterAutospacing="1"/>
              <w:textAlignment w:val="baseline"/>
              <w:rPr>
                <w:rFonts w:ascii="Calibri" w:eastAsia="Times New Roman" w:hAnsi="Calibri" w:cs="Calibri"/>
                <w:i/>
                <w:iCs/>
                <w:color w:val="008000"/>
              </w:rPr>
            </w:pPr>
          </w:p>
        </w:tc>
        <w:tc>
          <w:tcPr>
            <w:tcW w:w="6385" w:type="dxa"/>
          </w:tcPr>
          <w:p w14:paraId="75D6114B" w14:textId="4D46EC0A" w:rsidR="00D84C42" w:rsidRPr="00D84C42" w:rsidRDefault="00D84C42" w:rsidP="00D84C42">
            <w:pPr>
              <w:spacing w:before="100" w:beforeAutospacing="1" w:afterAutospacing="1"/>
              <w:textAlignment w:val="baseline"/>
              <w:rPr>
                <w:rFonts w:ascii="Calibri" w:eastAsia="Times New Roman" w:hAnsi="Calibri" w:cs="Calibri"/>
                <w:i/>
                <w:iCs/>
                <w:color w:val="008000"/>
              </w:rPr>
            </w:pPr>
          </w:p>
        </w:tc>
      </w:tr>
    </w:tbl>
    <w:p w14:paraId="4A725156" w14:textId="77777777" w:rsidR="00D84C42" w:rsidRPr="00D84C42" w:rsidRDefault="00D84C42" w:rsidP="00D84C42">
      <w:pPr>
        <w:rPr>
          <w:rFonts w:ascii="Calibri" w:eastAsia="Calibri" w:hAnsi="Calibri" w:cs="Arial"/>
        </w:rPr>
      </w:pPr>
    </w:p>
    <w:p w14:paraId="1EA71D92" w14:textId="77777777" w:rsidR="00D84C42" w:rsidRPr="00D84C42" w:rsidRDefault="00D84C42" w:rsidP="00D84C42">
      <w:pPr>
        <w:rPr>
          <w:rFonts w:ascii="Calibri" w:eastAsia="Calibri" w:hAnsi="Calibri" w:cs="Arial"/>
        </w:rPr>
      </w:pPr>
    </w:p>
    <w:p w14:paraId="0C262EE7" w14:textId="77777777" w:rsidR="00D84C42" w:rsidRPr="00D84C42" w:rsidRDefault="00D84C42" w:rsidP="00D84C42">
      <w:pPr>
        <w:rPr>
          <w:rFonts w:ascii="Calibri" w:eastAsia="Calibri" w:hAnsi="Calibri" w:cs="Arial"/>
          <w:b/>
          <w:bCs/>
        </w:rPr>
      </w:pPr>
      <w:r w:rsidRPr="00D84C42">
        <w:rPr>
          <w:rFonts w:ascii="Calibri" w:eastAsia="Calibri" w:hAnsi="Calibri" w:cs="Arial"/>
          <w:b/>
          <w:bCs/>
        </w:rPr>
        <w:t xml:space="preserve">Read the scenario below and then answer the related questions. </w:t>
      </w:r>
    </w:p>
    <w:p w14:paraId="2FE2049F" w14:textId="77777777" w:rsidR="00D84C42" w:rsidRPr="00D84C42" w:rsidRDefault="00D84C42" w:rsidP="00D84C42">
      <w:pPr>
        <w:rPr>
          <w:rFonts w:ascii="Calibri" w:eastAsia="Calibri" w:hAnsi="Calibri" w:cs="Arial"/>
        </w:rPr>
      </w:pPr>
      <w:r w:rsidRPr="00D84C42">
        <w:rPr>
          <w:rFonts w:ascii="Calibri" w:eastAsia="Calibri" w:hAnsi="Calibri" w:cs="Arial"/>
        </w:rPr>
        <w:t xml:space="preserve">Mr. M is about to teach his students about the life cycle of a frog. First, Mr. M shows an image of a frog on the screen. Then, he tells students that they are going to be learning about life cycles by learning about frogs. Next, Mr. M reads a nonfiction book about the life cycle of a frog. As he reads, he pauses to show images of each of the steps in the life cycle and uses his life cycle wheel to show students where they are in the life cycle.  </w:t>
      </w:r>
    </w:p>
    <w:p w14:paraId="0CD82427" w14:textId="77777777" w:rsidR="00D84C42" w:rsidRPr="00D84C42" w:rsidRDefault="00D84C42" w:rsidP="00D84C42">
      <w:pPr>
        <w:numPr>
          <w:ilvl w:val="0"/>
          <w:numId w:val="1"/>
        </w:numPr>
        <w:contextualSpacing/>
        <w:rPr>
          <w:rFonts w:ascii="Calibri" w:eastAsia="Calibri" w:hAnsi="Calibri" w:cs="Arial"/>
          <w:color w:val="70AD47"/>
        </w:rPr>
      </w:pPr>
      <w:r w:rsidRPr="00D84C42">
        <w:rPr>
          <w:rFonts w:ascii="Calibri" w:eastAsia="Calibri" w:hAnsi="Calibri" w:cs="Arial"/>
        </w:rPr>
        <w:t xml:space="preserve">How does Mr. M incorporate options for comprehension? </w:t>
      </w:r>
    </w:p>
    <w:p w14:paraId="5AEF9E38" w14:textId="77777777" w:rsidR="00D84C42" w:rsidRPr="00D84C42" w:rsidRDefault="00D84C42" w:rsidP="00D84C42">
      <w:pPr>
        <w:ind w:left="720"/>
        <w:contextualSpacing/>
        <w:rPr>
          <w:rFonts w:ascii="Calibri" w:eastAsia="Calibri" w:hAnsi="Calibri" w:cs="Arial"/>
          <w:color w:val="70AD47"/>
        </w:rPr>
      </w:pPr>
    </w:p>
    <w:p w14:paraId="4AB6DA80" w14:textId="77777777" w:rsidR="00D84C42" w:rsidRPr="00D84C42" w:rsidRDefault="00D84C42" w:rsidP="00D84C42">
      <w:pPr>
        <w:ind w:left="720"/>
        <w:contextualSpacing/>
        <w:rPr>
          <w:rFonts w:ascii="Calibri" w:eastAsia="Calibri" w:hAnsi="Calibri" w:cs="Arial"/>
          <w:i/>
          <w:iCs/>
          <w:color w:val="70AD47"/>
        </w:rPr>
      </w:pPr>
    </w:p>
    <w:p w14:paraId="63E94DF8" w14:textId="77777777" w:rsidR="00D84C42" w:rsidRPr="00D84C42" w:rsidRDefault="00D84C42" w:rsidP="00D84C42">
      <w:pPr>
        <w:numPr>
          <w:ilvl w:val="0"/>
          <w:numId w:val="1"/>
        </w:numPr>
        <w:contextualSpacing/>
        <w:rPr>
          <w:rFonts w:ascii="Calibri" w:eastAsia="Calibri" w:hAnsi="Calibri" w:cs="Arial"/>
          <w:color w:val="70AD47"/>
        </w:rPr>
      </w:pPr>
      <w:r w:rsidRPr="00D84C42">
        <w:rPr>
          <w:rFonts w:ascii="Calibri" w:eastAsia="Calibri" w:hAnsi="Calibri" w:cs="Arial"/>
        </w:rPr>
        <w:t>What else could Mr. M add to incorporate additional options for comprehension to provide access to rigorous content for all students.</w:t>
      </w:r>
    </w:p>
    <w:p w14:paraId="08610B66" w14:textId="77777777" w:rsidR="00D84C42" w:rsidRPr="00D84C42" w:rsidRDefault="00D84C42" w:rsidP="00D84C42">
      <w:pPr>
        <w:ind w:left="720"/>
        <w:contextualSpacing/>
        <w:rPr>
          <w:rFonts w:ascii="Calibri" w:eastAsia="Calibri" w:hAnsi="Calibri" w:cs="Arial"/>
          <w:i/>
          <w:iCs/>
          <w:color w:val="70AD47"/>
        </w:rPr>
      </w:pPr>
    </w:p>
    <w:p w14:paraId="091E6C6E" w14:textId="77777777" w:rsidR="00D84C42" w:rsidRPr="00D84C42" w:rsidRDefault="00D84C42" w:rsidP="00D84C42">
      <w:pPr>
        <w:rPr>
          <w:rFonts w:ascii="Calibri" w:eastAsia="Calibri" w:hAnsi="Calibri" w:cs="Arial"/>
          <w:i/>
          <w:iCs/>
          <w:color w:val="70AD47"/>
        </w:rPr>
      </w:pP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15FF7" w14:textId="77777777" w:rsidR="002476F9" w:rsidRDefault="002476F9" w:rsidP="00180877">
      <w:pPr>
        <w:spacing w:after="0" w:line="240" w:lineRule="auto"/>
      </w:pPr>
      <w:r>
        <w:separator/>
      </w:r>
    </w:p>
  </w:endnote>
  <w:endnote w:type="continuationSeparator" w:id="0">
    <w:p w14:paraId="26E2A759" w14:textId="77777777" w:rsidR="002476F9" w:rsidRDefault="002476F9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295DA8C9" w:rsidR="004405CD" w:rsidRPr="00EA1CC8" w:rsidRDefault="00EA1CC8" w:rsidP="00EA1CC8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5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870E0" w14:textId="77777777" w:rsidR="002476F9" w:rsidRDefault="002476F9" w:rsidP="00180877">
      <w:pPr>
        <w:spacing w:after="0" w:line="240" w:lineRule="auto"/>
      </w:pPr>
      <w:r>
        <w:separator/>
      </w:r>
    </w:p>
  </w:footnote>
  <w:footnote w:type="continuationSeparator" w:id="0">
    <w:p w14:paraId="3D4FB97B" w14:textId="77777777" w:rsidR="002476F9" w:rsidRDefault="002476F9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309FB"/>
    <w:multiLevelType w:val="hybridMultilevel"/>
    <w:tmpl w:val="A39E89A2"/>
    <w:lvl w:ilvl="0" w:tplc="98882FE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175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476F9"/>
    <w:rsid w:val="004405CD"/>
    <w:rsid w:val="0055127F"/>
    <w:rsid w:val="00861830"/>
    <w:rsid w:val="00B3057F"/>
    <w:rsid w:val="00CF5805"/>
    <w:rsid w:val="00D84C42"/>
    <w:rsid w:val="00EA19D5"/>
    <w:rsid w:val="00EA1CC8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table" w:styleId="TableGrid">
    <w:name w:val="Table Grid"/>
    <w:basedOn w:val="TableNormal"/>
    <w:uiPriority w:val="39"/>
    <w:rsid w:val="00D84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styleId="Hyperlink">
    <w:name w:val="Hyperlink"/>
    <w:basedOn w:val="DefaultParagraphFont"/>
    <w:uiPriority w:val="99"/>
    <w:unhideWhenUsed/>
    <w:rsid w:val="00EA1CC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8.09: Comprehension</vt:lpstr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8.09: Comprehension</dc:title>
  <dc:subject>Lesson 8.09: Comprehension</dc:subject>
  <dc:creator>Texas Education Agency</dc:creator>
  <cp:keywords/>
  <dc:description/>
  <cp:lastModifiedBy>White (she/her), Whitney</cp:lastModifiedBy>
  <cp:revision>7</cp:revision>
  <dcterms:created xsi:type="dcterms:W3CDTF">2022-05-26T02:20:00Z</dcterms:created>
  <dcterms:modified xsi:type="dcterms:W3CDTF">2023-08-30T04:28:00Z</dcterms:modified>
</cp:coreProperties>
</file>