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FBE0A" w14:textId="77777777" w:rsidR="00040AE9" w:rsidRDefault="00040AE9" w:rsidP="00040AE9">
      <w:pPr>
        <w:outlineLvl w:val="0"/>
        <w:rPr>
          <w:rFonts w:ascii="Calibri" w:eastAsia="Calibri" w:hAnsi="Calibri" w:cs="Open Sans"/>
          <w:bCs/>
          <w:sz w:val="28"/>
          <w:szCs w:val="20"/>
        </w:rPr>
      </w:pPr>
      <w:r>
        <w:rPr>
          <w:rFonts w:ascii="Calibri" w:eastAsia="Calibri" w:hAnsi="Calibri" w:cs="Open Sans"/>
          <w:bCs/>
          <w:sz w:val="28"/>
          <w:szCs w:val="20"/>
        </w:rPr>
        <w:t xml:space="preserve">Student Guide – Answer Key </w:t>
      </w:r>
    </w:p>
    <w:p w14:paraId="12DA47CD" w14:textId="77777777" w:rsidR="00040AE9" w:rsidRDefault="00040AE9" w:rsidP="00040AE9">
      <w:pPr>
        <w:pBdr>
          <w:bottom w:val="single" w:sz="6" w:space="1" w:color="auto"/>
        </w:pBdr>
        <w:outlineLvl w:val="1"/>
        <w:rPr>
          <w:rFonts w:eastAsia="Calibri" w:cstheme="minorHAnsi"/>
          <w:b/>
          <w:bCs/>
          <w:color w:val="000000"/>
          <w:sz w:val="24"/>
          <w:szCs w:val="24"/>
          <w:shd w:val="clear" w:color="auto" w:fill="FFFFFF"/>
        </w:rPr>
      </w:pPr>
      <w:r>
        <w:rPr>
          <w:rFonts w:eastAsia="Calibri" w:cstheme="minorHAnsi"/>
          <w:b/>
          <w:bCs/>
          <w:color w:val="000000"/>
          <w:sz w:val="24"/>
          <w:szCs w:val="24"/>
          <w:shd w:val="clear" w:color="auto" w:fill="FFFFFF"/>
        </w:rPr>
        <w:t>Lesson 8.01: Intro to Universal Design for Learning | Part I </w:t>
      </w:r>
    </w:p>
    <w:p w14:paraId="5B01367F" w14:textId="77777777" w:rsidR="00040AE9" w:rsidRDefault="00040AE9" w:rsidP="00040AE9">
      <w:pPr>
        <w:rPr>
          <w:rFonts w:ascii="Calibri" w:eastAsia="Calibri" w:hAnsi="Calibri" w:cs="Arial"/>
        </w:rPr>
      </w:pPr>
      <w:r>
        <w:rPr>
          <w:rFonts w:ascii="Calibri" w:eastAsia="Calibri" w:hAnsi="Calibri" w:cs="Arial"/>
        </w:rPr>
        <w:t xml:space="preserve">Name: </w:t>
      </w:r>
    </w:p>
    <w:p w14:paraId="58949AB9" w14:textId="77777777" w:rsidR="00040AE9" w:rsidRDefault="00040AE9" w:rsidP="00040AE9">
      <w:pPr>
        <w:rPr>
          <w:rFonts w:ascii="Calibri" w:eastAsia="Calibri" w:hAnsi="Calibri" w:cs="Arial"/>
        </w:rPr>
      </w:pPr>
      <w:r>
        <w:rPr>
          <w:rFonts w:ascii="Calibri" w:eastAsia="Calibri" w:hAnsi="Calibri" w:cs="Arial"/>
        </w:rPr>
        <w:t xml:space="preserve">Date: </w:t>
      </w:r>
    </w:p>
    <w:p w14:paraId="58009D52" w14:textId="77777777" w:rsidR="00040AE9" w:rsidRDefault="00040AE9" w:rsidP="00040AE9">
      <w:pPr>
        <w:spacing w:before="120" w:after="120" w:line="240" w:lineRule="auto"/>
        <w:rPr>
          <w:rFonts w:ascii="Calibri" w:eastAsia="Calibri" w:hAnsi="Calibri" w:cs="Arial"/>
        </w:rPr>
      </w:pPr>
      <w:r>
        <w:rPr>
          <w:rFonts w:ascii="Calibri" w:eastAsia="Calibri" w:hAnsi="Calibri" w:cs="Arial"/>
          <w:b/>
          <w:bCs/>
        </w:rPr>
        <w:t>Bellringer:</w:t>
      </w:r>
      <w:r>
        <w:rPr>
          <w:rFonts w:ascii="Calibri" w:eastAsia="Calibri" w:hAnsi="Calibri" w:cs="Arial"/>
        </w:rPr>
        <w:t xml:space="preserve"> The coach of a high-school girls’ basketball team is buying shoes for the team. Since the average shoe size of a 16-year-old is a women’s 8.5, she buys everyone the same size. </w:t>
      </w:r>
    </w:p>
    <w:p w14:paraId="2AA04522" w14:textId="77777777" w:rsidR="00040AE9" w:rsidRDefault="00040AE9" w:rsidP="00040AE9">
      <w:pPr>
        <w:spacing w:before="120" w:after="120" w:line="240" w:lineRule="auto"/>
        <w:rPr>
          <w:rFonts w:ascii="Calibri" w:eastAsia="Calibri" w:hAnsi="Calibri" w:cs="Arial"/>
        </w:rPr>
      </w:pPr>
      <w:r>
        <w:rPr>
          <w:rFonts w:ascii="Calibri" w:eastAsia="Calibri" w:hAnsi="Calibri" w:cs="Arial"/>
        </w:rPr>
        <w:t>Provide three reasons why this isn’t a good idea.</w:t>
      </w:r>
    </w:p>
    <w:p w14:paraId="6188E3DE" w14:textId="77777777" w:rsidR="00040AE9" w:rsidRDefault="00040AE9" w:rsidP="00040AE9">
      <w:pPr>
        <w:numPr>
          <w:ilvl w:val="0"/>
          <w:numId w:val="1"/>
        </w:numPr>
        <w:spacing w:before="120" w:after="120" w:line="240" w:lineRule="auto"/>
        <w:rPr>
          <w:rFonts w:ascii="Calibri" w:eastAsia="Calibri" w:hAnsi="Calibri" w:cs="Arial"/>
          <w:i/>
          <w:iCs/>
          <w:color w:val="008000"/>
        </w:rPr>
      </w:pPr>
      <w:r>
        <w:rPr>
          <w:rFonts w:ascii="Calibri" w:eastAsia="Calibri" w:hAnsi="Calibri" w:cs="Arial"/>
          <w:i/>
          <w:iCs/>
          <w:color w:val="008000"/>
        </w:rPr>
        <w:t>The shoes may be too big for some of the players, which could cause them to get injured during the game or practice</w:t>
      </w:r>
    </w:p>
    <w:p w14:paraId="5B9AB688" w14:textId="77777777" w:rsidR="00040AE9" w:rsidRDefault="00040AE9" w:rsidP="00040AE9">
      <w:pPr>
        <w:numPr>
          <w:ilvl w:val="0"/>
          <w:numId w:val="1"/>
        </w:numPr>
        <w:spacing w:before="120" w:after="120" w:line="240" w:lineRule="auto"/>
        <w:rPr>
          <w:rFonts w:ascii="Calibri" w:eastAsia="Calibri" w:hAnsi="Calibri" w:cs="Arial"/>
          <w:i/>
          <w:iCs/>
          <w:color w:val="008000"/>
        </w:rPr>
      </w:pPr>
      <w:r>
        <w:rPr>
          <w:rFonts w:ascii="Calibri" w:eastAsia="Calibri" w:hAnsi="Calibri" w:cs="Arial"/>
          <w:i/>
          <w:iCs/>
          <w:color w:val="008000"/>
        </w:rPr>
        <w:t>The shoes may be too small for some of the players which means they wouldn’t be able to wear the shoes or would get blisters. If they can’t wear the shoes, they can’t play.</w:t>
      </w:r>
    </w:p>
    <w:p w14:paraId="5959550C" w14:textId="77777777" w:rsidR="00040AE9" w:rsidRDefault="00040AE9" w:rsidP="00040AE9">
      <w:pPr>
        <w:numPr>
          <w:ilvl w:val="0"/>
          <w:numId w:val="1"/>
        </w:numPr>
        <w:spacing w:before="120" w:after="120" w:line="240" w:lineRule="auto"/>
        <w:rPr>
          <w:rFonts w:ascii="Calibri" w:eastAsia="Calibri" w:hAnsi="Calibri" w:cs="Arial"/>
          <w:i/>
          <w:iCs/>
          <w:color w:val="008000"/>
        </w:rPr>
      </w:pPr>
      <w:r>
        <w:rPr>
          <w:rFonts w:ascii="Calibri" w:eastAsia="Calibri" w:hAnsi="Calibri" w:cs="Arial"/>
          <w:i/>
          <w:iCs/>
          <w:color w:val="008000"/>
        </w:rPr>
        <w:t xml:space="preserve">The shoes being too big or too small would likely impact the performance of the players. </w:t>
      </w:r>
    </w:p>
    <w:p w14:paraId="53209ECD" w14:textId="77777777" w:rsidR="00040AE9" w:rsidRDefault="00040AE9" w:rsidP="00040AE9">
      <w:pPr>
        <w:spacing w:before="120" w:after="120" w:line="240" w:lineRule="auto"/>
        <w:rPr>
          <w:rFonts w:ascii="Calibri" w:eastAsia="Calibri" w:hAnsi="Calibri" w:cs="Arial"/>
          <w:b/>
          <w:bCs/>
        </w:rPr>
      </w:pPr>
    </w:p>
    <w:p w14:paraId="2578F877" w14:textId="77777777" w:rsidR="00040AE9" w:rsidRDefault="00040AE9" w:rsidP="00040AE9">
      <w:pPr>
        <w:spacing w:before="120" w:after="120" w:line="240" w:lineRule="auto"/>
        <w:rPr>
          <w:rFonts w:ascii="Calibri" w:eastAsia="Calibri" w:hAnsi="Calibri" w:cs="Arial"/>
          <w:b/>
          <w:bCs/>
        </w:rPr>
      </w:pPr>
      <w:r>
        <w:rPr>
          <w:rFonts w:ascii="Calibri" w:eastAsia="Calibri" w:hAnsi="Calibri" w:cs="Arial"/>
          <w:b/>
          <w:bCs/>
        </w:rPr>
        <w:t>Intro to Universal Design for Learning</w:t>
      </w:r>
    </w:p>
    <w:p w14:paraId="2CE0A67A" w14:textId="77777777" w:rsidR="00040AE9" w:rsidRDefault="00040AE9" w:rsidP="00040AE9">
      <w:pPr>
        <w:rPr>
          <w:rFonts w:ascii="Calibri" w:eastAsia="Calibri" w:hAnsi="Calibri" w:cs="Arial"/>
        </w:rPr>
      </w:pPr>
      <w:r>
        <w:rPr>
          <w:rFonts w:ascii="Calibri" w:eastAsia="Calibri" w:hAnsi="Calibri" w:cs="Arial"/>
        </w:rPr>
        <w:t xml:space="preserve">Record your answers to the questions below as you watch the TED Talk video. </w:t>
      </w:r>
    </w:p>
    <w:p w14:paraId="415F6778"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How do you design one cockpit that can fit the most individuals?</w:t>
      </w:r>
    </w:p>
    <w:p w14:paraId="04113592" w14:textId="77777777" w:rsidR="00040AE9" w:rsidRDefault="00040AE9" w:rsidP="00040AE9">
      <w:pPr>
        <w:spacing w:after="0" w:line="240" w:lineRule="auto"/>
        <w:ind w:left="144" w:firstLine="720"/>
        <w:contextualSpacing/>
        <w:rPr>
          <w:rFonts w:ascii="Calibri" w:eastAsia="Calibri" w:hAnsi="Calibri" w:cs="Arial"/>
          <w:i/>
          <w:iCs/>
          <w:color w:val="008000"/>
        </w:rPr>
      </w:pPr>
      <w:r>
        <w:rPr>
          <w:rFonts w:ascii="Calibri" w:eastAsia="Calibri" w:hAnsi="Calibri" w:cs="Arial"/>
          <w:i/>
          <w:iCs/>
          <w:color w:val="008000"/>
        </w:rPr>
        <w:t>Student responses will vary.</w:t>
      </w:r>
    </w:p>
    <w:p w14:paraId="2340E6C0" w14:textId="77777777" w:rsidR="00040AE9" w:rsidRDefault="00040AE9" w:rsidP="00040AE9">
      <w:pPr>
        <w:spacing w:after="0" w:line="240" w:lineRule="auto"/>
        <w:ind w:left="288" w:hanging="144"/>
        <w:contextualSpacing/>
        <w:rPr>
          <w:rFonts w:ascii="Calibri" w:eastAsia="Calibri" w:hAnsi="Calibri" w:cs="Arial"/>
        </w:rPr>
      </w:pPr>
    </w:p>
    <w:p w14:paraId="0BE11CE2"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Why is designing for the average pilot wrong?</w:t>
      </w:r>
    </w:p>
    <w:p w14:paraId="561DC85E" w14:textId="77777777" w:rsidR="00040AE9" w:rsidRDefault="00040AE9" w:rsidP="00040AE9">
      <w:pPr>
        <w:spacing w:after="0" w:line="240" w:lineRule="auto"/>
        <w:ind w:left="144" w:firstLine="720"/>
        <w:contextualSpacing/>
        <w:rPr>
          <w:rFonts w:ascii="Calibri" w:eastAsia="Calibri" w:hAnsi="Calibri" w:cs="Arial"/>
          <w:i/>
          <w:iCs/>
          <w:color w:val="70AD47"/>
        </w:rPr>
      </w:pPr>
      <w:r>
        <w:rPr>
          <w:rFonts w:ascii="Calibri" w:eastAsia="Calibri" w:hAnsi="Calibri" w:cs="Arial"/>
          <w:i/>
          <w:iCs/>
          <w:color w:val="008000"/>
        </w:rPr>
        <w:t>Because no two people are the exact same size on every dimension.</w:t>
      </w:r>
    </w:p>
    <w:p w14:paraId="4F9C95D0" w14:textId="77777777" w:rsidR="00040AE9" w:rsidRDefault="00040AE9" w:rsidP="00040AE9">
      <w:pPr>
        <w:spacing w:after="0" w:line="240" w:lineRule="auto"/>
        <w:ind w:left="288" w:hanging="144"/>
        <w:contextualSpacing/>
        <w:rPr>
          <w:rFonts w:ascii="Calibri" w:eastAsia="Calibri" w:hAnsi="Calibri" w:cs="Arial"/>
        </w:rPr>
      </w:pPr>
    </w:p>
    <w:p w14:paraId="452C3A55"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 xml:space="preserve">What does Todd mean by the quote: “When you design for the average, you design for no one.” </w:t>
      </w:r>
    </w:p>
    <w:p w14:paraId="4CC6ACB0" w14:textId="77777777" w:rsidR="00040AE9" w:rsidRDefault="00040AE9" w:rsidP="00040AE9">
      <w:pPr>
        <w:spacing w:after="0" w:line="240" w:lineRule="auto"/>
        <w:ind w:left="288" w:hanging="144"/>
        <w:contextualSpacing/>
        <w:rPr>
          <w:rFonts w:ascii="Calibri" w:eastAsia="Calibri" w:hAnsi="Calibri" w:cs="Arial"/>
        </w:rPr>
      </w:pPr>
    </w:p>
    <w:p w14:paraId="7CDBC5A8" w14:textId="77777777" w:rsidR="00040AE9" w:rsidRDefault="00040AE9" w:rsidP="00040AE9">
      <w:pPr>
        <w:spacing w:after="0" w:line="240" w:lineRule="auto"/>
        <w:ind w:left="864"/>
        <w:contextualSpacing/>
        <w:rPr>
          <w:rFonts w:ascii="Calibri" w:eastAsia="Calibri" w:hAnsi="Calibri" w:cs="Arial"/>
          <w:i/>
          <w:iCs/>
          <w:color w:val="70AD47"/>
        </w:rPr>
      </w:pPr>
      <w:r>
        <w:rPr>
          <w:rFonts w:ascii="Calibri" w:eastAsia="Calibri" w:hAnsi="Calibri" w:cs="Arial"/>
          <w:i/>
          <w:iCs/>
          <w:color w:val="008000"/>
        </w:rPr>
        <w:t xml:space="preserve">If you design a learning environment for the average student, you aren’t going to meet the needs of any of the students. Designing for the average hurts everyone because no two students are the same on every dimension.  </w:t>
      </w:r>
    </w:p>
    <w:p w14:paraId="163AC98D" w14:textId="77777777" w:rsidR="00040AE9" w:rsidRDefault="00040AE9" w:rsidP="00040AE9">
      <w:pPr>
        <w:spacing w:after="0" w:line="240" w:lineRule="auto"/>
        <w:ind w:left="432" w:hanging="288"/>
        <w:contextualSpacing/>
        <w:rPr>
          <w:rFonts w:ascii="Calibri" w:eastAsia="Calibri" w:hAnsi="Calibri" w:cs="Arial"/>
        </w:rPr>
      </w:pPr>
    </w:p>
    <w:p w14:paraId="6852E217"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 xml:space="preserve"> What are two ways designing for the average destroys talent?</w:t>
      </w:r>
    </w:p>
    <w:p w14:paraId="4EB86B37" w14:textId="77777777" w:rsidR="00040AE9" w:rsidRDefault="00040AE9" w:rsidP="00040AE9">
      <w:pPr>
        <w:spacing w:after="0" w:line="240" w:lineRule="auto"/>
        <w:ind w:left="864"/>
        <w:contextualSpacing/>
        <w:rPr>
          <w:rFonts w:ascii="Calibri" w:eastAsia="Calibri" w:hAnsi="Calibri" w:cs="Arial"/>
        </w:rPr>
      </w:pPr>
    </w:p>
    <w:p w14:paraId="13F5F52D" w14:textId="77777777" w:rsidR="00040AE9" w:rsidRDefault="00040AE9" w:rsidP="00040AE9">
      <w:pPr>
        <w:spacing w:after="0" w:line="240" w:lineRule="auto"/>
        <w:ind w:left="864"/>
        <w:contextualSpacing/>
        <w:rPr>
          <w:rFonts w:ascii="Calibri" w:eastAsia="Calibri" w:hAnsi="Calibri" w:cs="Arial"/>
          <w:i/>
          <w:iCs/>
          <w:color w:val="538135"/>
        </w:rPr>
      </w:pPr>
      <w:r>
        <w:rPr>
          <w:rFonts w:ascii="Calibri" w:eastAsia="Calibri" w:hAnsi="Calibri" w:cs="Arial"/>
          <w:i/>
          <w:iCs/>
          <w:color w:val="008000"/>
        </w:rPr>
        <w:t xml:space="preserve">Designing for the average doesn’t appropriately challenge students who are gifted in certain areas. </w:t>
      </w:r>
    </w:p>
    <w:p w14:paraId="5DCB6ACE" w14:textId="77777777" w:rsidR="00040AE9" w:rsidRDefault="00040AE9" w:rsidP="00040AE9">
      <w:pPr>
        <w:spacing w:after="0" w:line="240" w:lineRule="auto"/>
        <w:ind w:left="864"/>
        <w:contextualSpacing/>
        <w:rPr>
          <w:rFonts w:ascii="Calibri" w:eastAsia="Calibri" w:hAnsi="Calibri" w:cs="Arial"/>
          <w:i/>
          <w:iCs/>
          <w:color w:val="538135"/>
        </w:rPr>
      </w:pPr>
      <w:r>
        <w:rPr>
          <w:rFonts w:ascii="Calibri" w:eastAsia="Calibri" w:hAnsi="Calibri" w:cs="Arial"/>
          <w:i/>
          <w:iCs/>
          <w:color w:val="008000"/>
        </w:rPr>
        <w:t xml:space="preserve">A perceived weakness may overshadow a talent. For example, a student may be skilled in reasoning through complex problems but struggles with reading. </w:t>
      </w:r>
    </w:p>
    <w:p w14:paraId="5FCD4829" w14:textId="77777777" w:rsidR="00040AE9" w:rsidRDefault="00040AE9" w:rsidP="00040AE9">
      <w:pPr>
        <w:spacing w:after="0" w:line="240" w:lineRule="auto"/>
        <w:ind w:left="864"/>
        <w:contextualSpacing/>
        <w:rPr>
          <w:rFonts w:ascii="Calibri" w:eastAsia="Calibri" w:hAnsi="Calibri" w:cs="Arial"/>
          <w:i/>
          <w:iCs/>
          <w:color w:val="538135"/>
        </w:rPr>
      </w:pPr>
    </w:p>
    <w:p w14:paraId="6156393D"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How can we use technology to design flexible learning environments?</w:t>
      </w:r>
    </w:p>
    <w:p w14:paraId="43DECC06" w14:textId="77777777" w:rsidR="00040AE9" w:rsidRDefault="00040AE9" w:rsidP="00040AE9">
      <w:pPr>
        <w:spacing w:after="0" w:line="240" w:lineRule="auto"/>
        <w:ind w:left="864"/>
        <w:contextualSpacing/>
        <w:rPr>
          <w:rFonts w:ascii="Calibri" w:eastAsia="Calibri" w:hAnsi="Calibri" w:cs="Arial"/>
          <w:i/>
          <w:iCs/>
          <w:color w:val="70AD47"/>
        </w:rPr>
      </w:pPr>
      <w:r>
        <w:rPr>
          <w:rFonts w:ascii="Calibri" w:eastAsia="Calibri" w:hAnsi="Calibri" w:cs="Arial"/>
          <w:i/>
          <w:iCs/>
          <w:color w:val="008000"/>
        </w:rPr>
        <w:t xml:space="preserve">Language translation, support for reading, vocabulary, pronounce a word or read a passage for you </w:t>
      </w:r>
    </w:p>
    <w:p w14:paraId="5545ED7A" w14:textId="77777777" w:rsidR="00040AE9" w:rsidRDefault="00040AE9" w:rsidP="00040AE9">
      <w:pPr>
        <w:spacing w:after="0" w:line="240" w:lineRule="auto"/>
        <w:ind w:left="288" w:hanging="144"/>
        <w:contextualSpacing/>
        <w:rPr>
          <w:rFonts w:ascii="Calibri" w:eastAsia="Calibri" w:hAnsi="Calibri" w:cs="Arial"/>
        </w:rPr>
      </w:pPr>
    </w:p>
    <w:p w14:paraId="76B43F5A"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How can these technologies support student learning?</w:t>
      </w:r>
    </w:p>
    <w:p w14:paraId="7BEF5E52" w14:textId="77777777" w:rsidR="00040AE9" w:rsidRDefault="00040AE9" w:rsidP="00040AE9">
      <w:pPr>
        <w:spacing w:after="0" w:line="240" w:lineRule="auto"/>
        <w:ind w:left="936"/>
        <w:contextualSpacing/>
        <w:rPr>
          <w:rFonts w:ascii="Calibri" w:eastAsia="Calibri" w:hAnsi="Calibri" w:cs="Arial"/>
          <w:i/>
          <w:iCs/>
          <w:color w:val="70AD47"/>
        </w:rPr>
      </w:pPr>
      <w:r>
        <w:rPr>
          <w:rFonts w:ascii="Calibri" w:eastAsia="Calibri" w:hAnsi="Calibri" w:cs="Arial"/>
          <w:i/>
          <w:iCs/>
          <w:color w:val="008000"/>
        </w:rPr>
        <w:t>It makes the learning accessible to more students.</w:t>
      </w:r>
    </w:p>
    <w:p w14:paraId="29026F18" w14:textId="77777777" w:rsidR="00040AE9" w:rsidRDefault="00040AE9" w:rsidP="00040AE9">
      <w:pPr>
        <w:spacing w:after="0" w:line="240" w:lineRule="auto"/>
        <w:ind w:left="936"/>
        <w:contextualSpacing/>
        <w:rPr>
          <w:rFonts w:ascii="Calibri" w:eastAsia="Calibri" w:hAnsi="Calibri" w:cs="Arial"/>
        </w:rPr>
      </w:pPr>
    </w:p>
    <w:p w14:paraId="5D6CB692"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How did the use of technology help improve Billy’s performance?</w:t>
      </w:r>
    </w:p>
    <w:p w14:paraId="2EA4EA7D" w14:textId="77777777" w:rsidR="00040AE9" w:rsidRDefault="00040AE9" w:rsidP="00040AE9">
      <w:pPr>
        <w:spacing w:after="0" w:line="240" w:lineRule="auto"/>
        <w:ind w:left="864"/>
        <w:contextualSpacing/>
        <w:rPr>
          <w:rFonts w:ascii="Calibri" w:eastAsia="Calibri" w:hAnsi="Calibri" w:cs="Arial"/>
          <w:i/>
          <w:iCs/>
          <w:color w:val="70AD47"/>
        </w:rPr>
      </w:pPr>
      <w:r>
        <w:rPr>
          <w:rFonts w:ascii="Calibri" w:eastAsia="Calibri" w:hAnsi="Calibri" w:cs="Arial"/>
          <w:i/>
          <w:iCs/>
          <w:color w:val="008000"/>
        </w:rPr>
        <w:t>He became the smartest kid in the class. Classmates went over to Billy to ask him questions about the assignment. He was able to show his talent for science, whereas before his lower reading level was a barrier to him showing his talent in science.</w:t>
      </w:r>
    </w:p>
    <w:p w14:paraId="07C48306" w14:textId="77777777" w:rsidR="00040AE9" w:rsidRDefault="00040AE9" w:rsidP="00040AE9">
      <w:pPr>
        <w:spacing w:after="0" w:line="240" w:lineRule="auto"/>
        <w:ind w:left="288" w:hanging="144"/>
        <w:contextualSpacing/>
        <w:rPr>
          <w:rFonts w:ascii="Calibri" w:eastAsia="Calibri" w:hAnsi="Calibri" w:cs="Arial"/>
        </w:rPr>
      </w:pPr>
    </w:p>
    <w:p w14:paraId="18E326D8"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What does it mean to “ban the average” and instead, “design to the edges?” How can this impact student learning?</w:t>
      </w:r>
    </w:p>
    <w:p w14:paraId="5D55DFA5" w14:textId="77777777" w:rsidR="00040AE9" w:rsidRDefault="00040AE9" w:rsidP="00040AE9">
      <w:pPr>
        <w:spacing w:after="0" w:line="240" w:lineRule="auto"/>
        <w:ind w:left="864"/>
        <w:contextualSpacing/>
        <w:rPr>
          <w:rFonts w:ascii="Calibri" w:eastAsia="Calibri" w:hAnsi="Calibri" w:cs="Arial"/>
          <w:i/>
          <w:iCs/>
          <w:color w:val="70AD47"/>
        </w:rPr>
      </w:pPr>
      <w:r>
        <w:rPr>
          <w:rFonts w:ascii="Calibri" w:eastAsia="Calibri" w:hAnsi="Calibri" w:cs="Arial"/>
          <w:i/>
          <w:iCs/>
          <w:color w:val="008000"/>
        </w:rPr>
        <w:t>To ban the average means to no longer teach to the average. We should design to the edges by ensuring that the learning environment provides opportunities and supports for all students to thrive. This will lead to an increase in student performance and expand their talents in multiple areas.</w:t>
      </w:r>
    </w:p>
    <w:p w14:paraId="4271991A" w14:textId="77777777" w:rsidR="00040AE9" w:rsidRDefault="00040AE9" w:rsidP="00040AE9">
      <w:pPr>
        <w:spacing w:after="0" w:line="240" w:lineRule="auto"/>
        <w:ind w:left="288" w:hanging="144"/>
        <w:contextualSpacing/>
        <w:rPr>
          <w:rFonts w:ascii="Calibri" w:eastAsia="Calibri" w:hAnsi="Calibri" w:cs="Arial"/>
        </w:rPr>
      </w:pPr>
    </w:p>
    <w:p w14:paraId="1B0B6452" w14:textId="77777777" w:rsidR="00040AE9" w:rsidRDefault="00040AE9" w:rsidP="00040AE9">
      <w:pPr>
        <w:numPr>
          <w:ilvl w:val="0"/>
          <w:numId w:val="2"/>
        </w:numPr>
        <w:spacing w:after="0" w:line="240" w:lineRule="auto"/>
        <w:contextualSpacing/>
        <w:rPr>
          <w:rFonts w:ascii="Calibri" w:eastAsia="Calibri" w:hAnsi="Calibri" w:cs="Arial"/>
        </w:rPr>
      </w:pPr>
      <w:r>
        <w:rPr>
          <w:rFonts w:ascii="Calibri" w:eastAsia="Calibri" w:hAnsi="Calibri" w:cs="Arial"/>
        </w:rPr>
        <w:t>What is the impact of designing for the average?</w:t>
      </w:r>
    </w:p>
    <w:p w14:paraId="1F146A85" w14:textId="77777777" w:rsidR="00040AE9" w:rsidRDefault="00040AE9" w:rsidP="00040AE9">
      <w:pPr>
        <w:spacing w:after="0" w:line="240" w:lineRule="auto"/>
        <w:ind w:left="1008" w:hanging="144"/>
        <w:contextualSpacing/>
        <w:rPr>
          <w:rFonts w:ascii="Calibri" w:eastAsia="Calibri" w:hAnsi="Calibri" w:cs="Arial"/>
          <w:i/>
          <w:iCs/>
          <w:color w:val="70AD47"/>
        </w:rPr>
      </w:pPr>
      <w:r>
        <w:rPr>
          <w:rFonts w:ascii="Calibri" w:eastAsia="Calibri" w:hAnsi="Calibri" w:cs="Arial"/>
          <w:i/>
          <w:iCs/>
          <w:color w:val="008000"/>
        </w:rPr>
        <w:t>High dropout rates, lower performance, lower the talent pool, less competitive with other</w:t>
      </w:r>
    </w:p>
    <w:p w14:paraId="6D4723CA" w14:textId="77777777" w:rsidR="00040AE9" w:rsidRDefault="00040AE9" w:rsidP="00040AE9">
      <w:pPr>
        <w:spacing w:after="0" w:line="240" w:lineRule="auto"/>
        <w:ind w:left="1008" w:hanging="144"/>
        <w:contextualSpacing/>
        <w:rPr>
          <w:rFonts w:ascii="Calibri" w:eastAsia="Calibri" w:hAnsi="Calibri" w:cs="Arial"/>
          <w:i/>
          <w:iCs/>
          <w:color w:val="70AD47"/>
        </w:rPr>
      </w:pPr>
      <w:r>
        <w:rPr>
          <w:rFonts w:ascii="Calibri" w:eastAsia="Calibri" w:hAnsi="Calibri" w:cs="Arial"/>
          <w:i/>
          <w:iCs/>
          <w:color w:val="008000"/>
        </w:rPr>
        <w:t>Countries.</w:t>
      </w:r>
    </w:p>
    <w:p w14:paraId="5D34F46B" w14:textId="77777777" w:rsidR="00040AE9" w:rsidRDefault="00040AE9" w:rsidP="00040AE9">
      <w:pPr>
        <w:spacing w:after="0" w:line="240" w:lineRule="auto"/>
        <w:ind w:left="288" w:hanging="144"/>
        <w:contextualSpacing/>
        <w:rPr>
          <w:rFonts w:ascii="Calibri" w:eastAsia="Calibri" w:hAnsi="Calibri" w:cs="Arial"/>
          <w:color w:val="008000"/>
        </w:rPr>
      </w:pPr>
    </w:p>
    <w:p w14:paraId="53918669" w14:textId="77777777" w:rsidR="00040AE9" w:rsidRDefault="00040AE9" w:rsidP="00040AE9">
      <w:pPr>
        <w:rPr>
          <w:rFonts w:ascii="Calibri" w:eastAsia="SimSun" w:hAnsi="Calibri" w:cs="Arial"/>
          <w:b/>
          <w:szCs w:val="24"/>
        </w:rPr>
      </w:pPr>
    </w:p>
    <w:p w14:paraId="10DE464F" w14:textId="77777777" w:rsidR="00040AE9" w:rsidRDefault="00040AE9" w:rsidP="00040AE9">
      <w:pPr>
        <w:rPr>
          <w:rFonts w:ascii="Calibri" w:eastAsia="SimSun" w:hAnsi="Calibri" w:cs="Arial"/>
          <w:b/>
          <w:szCs w:val="24"/>
        </w:rPr>
      </w:pPr>
      <w:r>
        <w:rPr>
          <w:rFonts w:ascii="Calibri" w:eastAsia="SimSun" w:hAnsi="Calibri" w:cs="Arial"/>
          <w:b/>
          <w:szCs w:val="24"/>
        </w:rPr>
        <w:t>Defining UDL</w:t>
      </w:r>
    </w:p>
    <w:p w14:paraId="3A3C0836" w14:textId="77777777" w:rsidR="00040AE9" w:rsidRDefault="00040AE9" w:rsidP="00040AE9">
      <w:pPr>
        <w:rPr>
          <w:rFonts w:ascii="Calibri" w:eastAsia="Calibri" w:hAnsi="Calibri" w:cs="Arial"/>
        </w:rPr>
      </w:pPr>
      <w:r>
        <w:rPr>
          <w:rFonts w:ascii="Calibri" w:eastAsia="Calibri" w:hAnsi="Calibri" w:cs="Arial"/>
        </w:rPr>
        <w:t>Write the definition for the term below.</w:t>
      </w:r>
    </w:p>
    <w:tbl>
      <w:tblPr>
        <w:tblStyle w:val="TableGrid"/>
        <w:tblW w:w="5000" w:type="pct"/>
        <w:tblInd w:w="0" w:type="dxa"/>
        <w:tblLayout w:type="fixed"/>
        <w:tblLook w:val="04A0" w:firstRow="1" w:lastRow="0" w:firstColumn="1" w:lastColumn="0" w:noHBand="0" w:noVBand="1"/>
      </w:tblPr>
      <w:tblGrid>
        <w:gridCol w:w="2043"/>
        <w:gridCol w:w="7307"/>
      </w:tblGrid>
      <w:tr w:rsidR="00040AE9" w14:paraId="3E1E47DF" w14:textId="77777777" w:rsidTr="00040AE9">
        <w:trPr>
          <w:cantSplit/>
          <w:trHeight w:val="420"/>
        </w:trPr>
        <w:tc>
          <w:tcPr>
            <w:tcW w:w="1710" w:type="dxa"/>
            <w:tcBorders>
              <w:top w:val="single" w:sz="4" w:space="0" w:color="auto"/>
              <w:left w:val="single" w:sz="4" w:space="0" w:color="auto"/>
              <w:bottom w:val="single" w:sz="4" w:space="0" w:color="auto"/>
              <w:right w:val="single" w:sz="4" w:space="0" w:color="auto"/>
            </w:tcBorders>
            <w:hideMark/>
          </w:tcPr>
          <w:p w14:paraId="2C13CC58" w14:textId="77777777" w:rsidR="00040AE9" w:rsidRDefault="00040AE9">
            <w:pPr>
              <w:spacing w:before="120" w:after="120" w:line="240" w:lineRule="auto"/>
              <w:rPr>
                <w:rFonts w:ascii="Calibri" w:eastAsia="Calibri" w:hAnsi="Calibri" w:cs="Arial"/>
              </w:rPr>
            </w:pPr>
            <w:r>
              <w:rPr>
                <w:rFonts w:ascii="Calibri" w:eastAsia="Calibri" w:hAnsi="Calibri" w:cs="Arial"/>
              </w:rPr>
              <w:t>Universal Design for Learning (UDL)</w:t>
            </w:r>
          </w:p>
        </w:tc>
        <w:tc>
          <w:tcPr>
            <w:tcW w:w="6115" w:type="dxa"/>
            <w:tcBorders>
              <w:top w:val="single" w:sz="4" w:space="0" w:color="auto"/>
              <w:left w:val="single" w:sz="4" w:space="0" w:color="auto"/>
              <w:bottom w:val="single" w:sz="4" w:space="0" w:color="auto"/>
              <w:right w:val="single" w:sz="4" w:space="0" w:color="auto"/>
            </w:tcBorders>
            <w:hideMark/>
          </w:tcPr>
          <w:p w14:paraId="0E9325D0" w14:textId="77777777" w:rsidR="00040AE9" w:rsidRDefault="00040AE9">
            <w:pPr>
              <w:spacing w:before="120" w:after="120" w:line="240" w:lineRule="auto"/>
              <w:rPr>
                <w:rFonts w:ascii="Calibri" w:eastAsia="Calibri" w:hAnsi="Calibri" w:cs="Arial"/>
                <w:i/>
                <w:iCs/>
                <w:color w:val="008000"/>
              </w:rPr>
            </w:pPr>
            <w:r>
              <w:rPr>
                <w:rFonts w:ascii="Calibri" w:eastAsia="Calibri" w:hAnsi="Calibri" w:cs="Arial"/>
                <w:i/>
                <w:iCs/>
                <w:color w:val="008000"/>
              </w:rPr>
              <w:t>An educational framework to guide the development of flexible learning environments that can accommodate individual learning differences through engagement, representation, and expression. It is an approach to curriculum that minimizes barriers and maximizes learning for all students.</w:t>
            </w:r>
          </w:p>
        </w:tc>
      </w:tr>
    </w:tbl>
    <w:p w14:paraId="2AB80F67" w14:textId="77777777" w:rsidR="00040AE9" w:rsidRDefault="00040AE9" w:rsidP="00040AE9"/>
    <w:p w14:paraId="382A219D" w14:textId="77777777" w:rsidR="004D5AD5" w:rsidRDefault="004D5AD5"/>
    <w:sectPr w:rsidR="004D5AD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F68DD" w14:textId="77777777" w:rsidR="00334C6A" w:rsidRDefault="00334C6A" w:rsidP="00334C6A">
      <w:pPr>
        <w:spacing w:after="0" w:line="240" w:lineRule="auto"/>
      </w:pPr>
      <w:r>
        <w:separator/>
      </w:r>
    </w:p>
  </w:endnote>
  <w:endnote w:type="continuationSeparator" w:id="0">
    <w:p w14:paraId="486CC14B" w14:textId="77777777" w:rsidR="00334C6A" w:rsidRDefault="00334C6A" w:rsidP="00334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C84D1" w14:textId="2BFE26BB" w:rsidR="00334C6A" w:rsidRPr="00A8764F" w:rsidRDefault="00A8764F" w:rsidP="00A8764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A7395" w14:textId="77777777" w:rsidR="00334C6A" w:rsidRDefault="00334C6A" w:rsidP="00334C6A">
      <w:pPr>
        <w:spacing w:after="0" w:line="240" w:lineRule="auto"/>
      </w:pPr>
      <w:r>
        <w:separator/>
      </w:r>
    </w:p>
  </w:footnote>
  <w:footnote w:type="continuationSeparator" w:id="0">
    <w:p w14:paraId="77846CD9" w14:textId="77777777" w:rsidR="00334C6A" w:rsidRDefault="00334C6A" w:rsidP="00334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6D475" w14:textId="65FC13DA" w:rsidR="00334C6A" w:rsidRDefault="00334C6A" w:rsidP="00334C6A">
    <w:pPr>
      <w:pStyle w:val="Header"/>
      <w:spacing w:after="120"/>
    </w:pPr>
    <w:r>
      <w:rPr>
        <w:noProof/>
      </w:rPr>
      <w:drawing>
        <wp:inline distT="0" distB="0" distL="0" distR="0" wp14:anchorId="61251217" wp14:editId="6633E8C6">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B42B2"/>
    <w:multiLevelType w:val="hybridMultilevel"/>
    <w:tmpl w:val="B54491D2"/>
    <w:lvl w:ilvl="0" w:tplc="996E9A5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A1C75F5"/>
    <w:multiLevelType w:val="hybridMultilevel"/>
    <w:tmpl w:val="FCE226FE"/>
    <w:lvl w:ilvl="0" w:tplc="6A98D656">
      <w:start w:val="1"/>
      <w:numFmt w:val="decimal"/>
      <w:lvlText w:val="%1."/>
      <w:lvlJc w:val="left"/>
      <w:pPr>
        <w:ind w:left="864" w:hanging="360"/>
      </w:pPr>
    </w:lvl>
    <w:lvl w:ilvl="1" w:tplc="04090019">
      <w:start w:val="1"/>
      <w:numFmt w:val="lowerLetter"/>
      <w:lvlText w:val="%2."/>
      <w:lvlJc w:val="left"/>
      <w:pPr>
        <w:ind w:left="1584" w:hanging="360"/>
      </w:pPr>
    </w:lvl>
    <w:lvl w:ilvl="2" w:tplc="0409001B">
      <w:start w:val="1"/>
      <w:numFmt w:val="lowerRoman"/>
      <w:lvlText w:val="%3."/>
      <w:lvlJc w:val="right"/>
      <w:pPr>
        <w:ind w:left="2304" w:hanging="180"/>
      </w:pPr>
    </w:lvl>
    <w:lvl w:ilvl="3" w:tplc="0409000F">
      <w:start w:val="1"/>
      <w:numFmt w:val="decimal"/>
      <w:lvlText w:val="%4."/>
      <w:lvlJc w:val="left"/>
      <w:pPr>
        <w:ind w:left="3024" w:hanging="360"/>
      </w:pPr>
    </w:lvl>
    <w:lvl w:ilvl="4" w:tplc="04090019">
      <w:start w:val="1"/>
      <w:numFmt w:val="lowerLetter"/>
      <w:lvlText w:val="%5."/>
      <w:lvlJc w:val="left"/>
      <w:pPr>
        <w:ind w:left="3744" w:hanging="360"/>
      </w:pPr>
    </w:lvl>
    <w:lvl w:ilvl="5" w:tplc="0409001B">
      <w:start w:val="1"/>
      <w:numFmt w:val="lowerRoman"/>
      <w:lvlText w:val="%6."/>
      <w:lvlJc w:val="right"/>
      <w:pPr>
        <w:ind w:left="4464" w:hanging="180"/>
      </w:pPr>
    </w:lvl>
    <w:lvl w:ilvl="6" w:tplc="0409000F">
      <w:start w:val="1"/>
      <w:numFmt w:val="decimal"/>
      <w:lvlText w:val="%7."/>
      <w:lvlJc w:val="left"/>
      <w:pPr>
        <w:ind w:left="5184" w:hanging="360"/>
      </w:pPr>
    </w:lvl>
    <w:lvl w:ilvl="7" w:tplc="04090019">
      <w:start w:val="1"/>
      <w:numFmt w:val="lowerLetter"/>
      <w:lvlText w:val="%8."/>
      <w:lvlJc w:val="left"/>
      <w:pPr>
        <w:ind w:left="5904" w:hanging="360"/>
      </w:pPr>
    </w:lvl>
    <w:lvl w:ilvl="8" w:tplc="0409001B">
      <w:start w:val="1"/>
      <w:numFmt w:val="lowerRoman"/>
      <w:lvlText w:val="%9."/>
      <w:lvlJc w:val="right"/>
      <w:pPr>
        <w:ind w:left="6624" w:hanging="180"/>
      </w:pPr>
    </w:lvl>
  </w:abstractNum>
  <w:num w:numId="1" w16cid:durableId="2591414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6482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07"/>
    <w:rsid w:val="0002657B"/>
    <w:rsid w:val="00040AE9"/>
    <w:rsid w:val="002B08AC"/>
    <w:rsid w:val="00334C6A"/>
    <w:rsid w:val="004D5AD5"/>
    <w:rsid w:val="00573107"/>
    <w:rsid w:val="00721C3D"/>
    <w:rsid w:val="00A8764F"/>
    <w:rsid w:val="00CF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4019"/>
  <w15:chartTrackingRefBased/>
  <w15:docId w15:val="{5EC7B0D6-B8EF-4E8A-B3BE-A3ACBCB2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AE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0AE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4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C6A"/>
  </w:style>
  <w:style w:type="paragraph" w:styleId="Footer">
    <w:name w:val="footer"/>
    <w:basedOn w:val="Normal"/>
    <w:link w:val="FooterChar"/>
    <w:uiPriority w:val="99"/>
    <w:unhideWhenUsed/>
    <w:rsid w:val="00334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C6A"/>
  </w:style>
  <w:style w:type="character" w:styleId="Hyperlink">
    <w:name w:val="Hyperlink"/>
    <w:basedOn w:val="DefaultParagraphFont"/>
    <w:uiPriority w:val="99"/>
    <w:semiHidden/>
    <w:unhideWhenUsed/>
    <w:rsid w:val="00A8764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563869">
      <w:bodyDiv w:val="1"/>
      <w:marLeft w:val="0"/>
      <w:marRight w:val="0"/>
      <w:marTop w:val="0"/>
      <w:marBottom w:val="0"/>
      <w:divBdr>
        <w:top w:val="none" w:sz="0" w:space="0" w:color="auto"/>
        <w:left w:val="none" w:sz="0" w:space="0" w:color="auto"/>
        <w:bottom w:val="none" w:sz="0" w:space="0" w:color="auto"/>
        <w:right w:val="none" w:sz="0" w:space="0" w:color="auto"/>
      </w:divBdr>
    </w:div>
    <w:div w:id="97098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8.01: Intro to Universal Design for Learning | Part I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8.01: Intro to Universal Design for Learning | Part I </dc:title>
  <dc:subject>Lesson 8.01: Intro to Universal Design for Learning | Part I </dc:subject>
  <dc:creator>Texas Education Agency</dc:creator>
  <cp:keywords/>
  <dc:description/>
  <cp:lastModifiedBy>White (she/her), Whitney</cp:lastModifiedBy>
  <cp:revision>4</cp:revision>
  <dcterms:created xsi:type="dcterms:W3CDTF">2022-12-16T20:45:00Z</dcterms:created>
  <dcterms:modified xsi:type="dcterms:W3CDTF">2023-08-30T03:56:00Z</dcterms:modified>
</cp:coreProperties>
</file>