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  <w:t xml:space="preserve">O tema do Dia Mundial da Malária de 2023 “Hora de alcançar a malária zero: investir, inovar, implementar” destaca a necessidade urgente de se fazer investimentos arrojados no controlo do paludismo, inovar para proporcionar ferramentas transformadoras e melhoradas e implementar as ferramentas e estratégias disponíveis para chegarem a quem mais precisa.</w:t>
      </w:r>
    </w:p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  <w:t xml:space="preserve">O </w:t>
      </w:r>
      <w:hyperlink xmlns:r="http://schemas.openxmlformats.org/officeDocument/2006/relationships" r:id="docRId0">
        <w:r>
          <w:rPr>
            <w:rFonts w:ascii="Arial" w:hAnsi="Arial" w:cs="Arial" w:eastAsia="Arial"/>
            <w:b/>
            <w:color w:val="CF2121"/>
            <w:spacing w:val="0"/>
            <w:position w:val="0"/>
            <w:sz w:val="24"/>
            <w:u w:val="single"/>
            <w:shd w:fill="FFFFFF" w:val="clear"/>
          </w:rPr>
          <w:t xml:space="preserve">Programa UCMI</w:t>
        </w:r>
      </w:hyperlink>
      <w:r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  <w:t xml:space="preserve"> está empenhado em contribuir para a eliminação do paludismo, através do desenvolvimento de estratégias inovadoras que modificam as populações dos mosquitos transmissores do paludismo para que sejam incapazes de transmitir o parasita do paludismo aos seres humanos.</w:t>
      </w:r>
    </w:p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</w:pPr>
    </w:p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  <w:t xml:space="preserve">@image</w:t>
      </w:r>
    </w:p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  <w:t xml:space="preserve">Os mosquitos modificados eliminam o parasita do paludismo, não os mosquitos. A UCMI trabalha em parceria com o Ministério da Saúde em São Tomé e Príncipe (STP) desde 2019 para estudar a biologia e ecologia do mosquito vetor do paludismo em STP para ajudar a determinar se esta nova ferramenta pode ser uma opção viável para o esforço nacional de eliminação do paludismo em STP. Atualmente, não há, nem nunca houve, quaisquer mosquitos modificados em STP.</w:t>
      </w:r>
    </w:p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</w:pPr>
    </w:p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  <w:t xml:space="preserve">@video</w:t>
      </w:r>
    </w:p>
    <w:p>
      <w:pPr>
        <w:spacing w:before="200" w:after="0" w:line="288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auto" w:val="clear"/>
        </w:rPr>
      </w:pPr>
      <w:r>
        <w:object w:dxaOrig="12449" w:dyaOrig="9302">
          <v:rect xmlns:o="urn:schemas-microsoft-com:office:office" xmlns:v="urn:schemas-microsoft-com:vml" id="rectole0000000000" style="width:622.450000pt;height:465.1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  <w:t xml:space="preserve">O trabalho do programa UCMI em STP envolve 3 componentes principais: capacitação técnica e fortalecimento da infraestrutura de investigação existente, engajamento comunitário e investigação de campo. A capacitação técnica é uma parte importante do programa UCMI. Em janeiro de 2023, a UCMI, em parceria com a Universidade de São Tomé e Príncipe (USTP) e o Ministério da Saúde, concluiu um novo laboratório de pesquisa em biologia molecular localizado, no campus da Faculdade das Ciências e das Tecnologias.</w:t>
      </w:r>
    </w:p>
    <w:p>
      <w:pPr>
        <w:spacing w:before="200" w:after="0" w:line="288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auto" w:val="clear"/>
        </w:rPr>
      </w:pPr>
      <w:r>
        <w:object w:dxaOrig="12449" w:dyaOrig="9331">
          <v:rect xmlns:o="urn:schemas-microsoft-com:office:office" xmlns:v="urn:schemas-microsoft-com:vml" id="rectole0000000001" style="width:622.450000pt;height:466.5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  <w:r>
        <w:object w:dxaOrig="12449" w:dyaOrig="11462">
          <v:rect xmlns:o="urn:schemas-microsoft-com:office:office" xmlns:v="urn:schemas-microsoft-com:vml" id="rectole0000000002" style="width:622.450000pt;height:573.1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  <w:t xml:space="preserve">A inauguração formal do laboratório foi realizada em 21 de janeiro de 2023, momento em que o programa UCMI também concedeu bolsas a 4 estudantes de biologia de STP para estudos avançados (3 mestrados e 1 doutoramento) na sua instituição parceira internacional, o Instituto de Higiene e Medicina Tropical (IHMT) de Lisboa.</w:t>
      </w:r>
    </w:p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  <w:t xml:space="preserve">O objetivo do recém-criado laboratório de pesquisa em biologia molecular da UCMI na USTP, e das bolsas de estudos avançados, está em linha com a missão do programa da UCMI de contribuir para o avanço da comunidade nacional de saúde pública e da investigação científica de STP.</w:t>
      </w:r>
    </w:p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  <w:t xml:space="preserve">Jovens pesquisadores trabalharão ao lado dos cientistas do projeto UCMI no novo laboratório, permitindo a transferência de capacidades em novas tecnologias de biologia molecular e, mais importante, proporcionará um mecanismo para que a tecnologia inovadora da UCMI seja totalmente codesenvolvida pelos seus colaboradores em STP.</w:t>
      </w:r>
    </w:p>
    <w:p>
      <w:pPr>
        <w:spacing w:before="200" w:after="0" w:line="288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auto" w:val="clear"/>
        </w:rPr>
      </w:pPr>
      <w:r>
        <w:object w:dxaOrig="12449" w:dyaOrig="9302">
          <v:rect xmlns:o="urn:schemas-microsoft-com:office:office" xmlns:v="urn:schemas-microsoft-com:vml" id="rectole0000000003" style="width:622.450000pt;height:465.1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  <w:t xml:space="preserve">Além disso, a UCMI concluiu recentemente a renovação do Insectário do Centro Nacional de Endemias (CNE) de STP, onde o Programa Nacional de Luta contra o Paludismo realiza a sua investigação.</w:t>
      </w:r>
    </w:p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  <w:t xml:space="preserve">A renovação foi concluída em parceria com o CNE e o Ministério da Saúde, com o objetivo de fortalecer a capacidade do Programa Nacional de Luta contra o Paludismo, através de uma instalação de insectário que permite o estabelecimento de uma colónia local de mosquitos locais e ofereça oportunidades para as pesquisas necessárias ao avanço da estratégia nacional de eliminação do paludismo de STP.</w:t>
      </w:r>
    </w:p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4"/>
          <w:shd w:fill="FFFFFF" w:val="clear"/>
        </w:rPr>
        <w:t xml:space="preserve">Hoje, estamos com nossos parceiros em STP no Dia Mundial da Malária para apoiar a consciencialização sobre a malária, a importância do controle e tratamento e a necessidade urgente de contribuições necessárias para atingir o objetivo malária zero.</w:t>
      </w:r>
    </w:p>
    <w:p>
      <w:pPr>
        <w:spacing w:before="0" w:after="300" w:line="372"/>
        <w:ind w:right="0" w:left="0" w:firstLine="0"/>
        <w:jc w:val="left"/>
        <w:rPr>
          <w:rFonts w:ascii="Arial" w:hAnsi="Arial" w:cs="Arial" w:eastAsia="Arial"/>
          <w:b/>
          <w:color w:val="222222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222222"/>
          <w:spacing w:val="0"/>
          <w:position w:val="0"/>
          <w:sz w:val="24"/>
          <w:shd w:fill="FFFFFF" w:val="clear"/>
        </w:rPr>
        <w:t xml:space="preserve">FONTE </w:t>
      </w:r>
      <w:r>
        <w:rPr>
          <w:rFonts w:ascii="Arial" w:hAnsi="Arial" w:cs="Arial" w:eastAsia="Arial"/>
          <w:b/>
          <w:color w:val="222222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b/>
          <w:color w:val="222222"/>
          <w:spacing w:val="0"/>
          <w:position w:val="0"/>
          <w:sz w:val="24"/>
          <w:shd w:fill="FFFFFF" w:val="clear"/>
        </w:rPr>
        <w:t xml:space="preserve"> Universidade da Calif</w:t>
      </w:r>
      <w:r>
        <w:rPr>
          <w:rFonts w:ascii="Arial" w:hAnsi="Arial" w:cs="Arial" w:eastAsia="Arial"/>
          <w:b/>
          <w:color w:val="222222"/>
          <w:spacing w:val="0"/>
          <w:position w:val="0"/>
          <w:sz w:val="24"/>
          <w:shd w:fill="FFFFFF" w:val="clear"/>
        </w:rPr>
        <w:t xml:space="preserve">órnia</w:t>
      </w:r>
    </w:p>
    <w:p>
      <w:pPr>
        <w:spacing w:before="200" w:after="0" w:line="288"/>
        <w:ind w:right="0" w:left="0" w:firstLine="0"/>
        <w:jc w:val="left"/>
        <w:rPr>
          <w:rFonts w:ascii="Proxima Nova" w:hAnsi="Proxima Nova" w:cs="Proxima Nova" w:eastAsia="Proxima Nova"/>
          <w:b/>
          <w:color w:val="353744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embeddings/oleObject3.bin" Id="docRId7" Type="http://schemas.openxmlformats.org/officeDocument/2006/relationships/oleObject" /><Relationship TargetMode="External" Target="https://stopmalaria.org/" Id="docRId0" Type="http://schemas.openxmlformats.org/officeDocument/2006/relationships/hyperlink" /><Relationship Target="styles.xml" Id="docRId10" Type="http://schemas.openxmlformats.org/officeDocument/2006/relationships/styles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media/image2.wmf" Id="docRId6" Type="http://schemas.openxmlformats.org/officeDocument/2006/relationships/image" /><Relationship Target="media/image3.wmf" Id="docRId8" Type="http://schemas.openxmlformats.org/officeDocument/2006/relationships/image" /><Relationship Target="embeddings/oleObject0.bin" Id="docRId1" Type="http://schemas.openxmlformats.org/officeDocument/2006/relationships/oleObject" /><Relationship Target="embeddings/oleObject2.bin" Id="docRId5" Type="http://schemas.openxmlformats.org/officeDocument/2006/relationships/oleObject" /><Relationship Target="numbering.xml" Id="docRId9" Type="http://schemas.openxmlformats.org/officeDocument/2006/relationships/numbering" /></Relationships>
</file>