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7bx18cgt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 Bond Festival – Partnership &amp; Operations Agreement (Draft)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between the founding partners of Big Bond Festival: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Ceilings, No Floors, MadPeople, and Lucid Drum &amp; Bass</w:t>
      </w:r>
      <w:r w:rsidDel="00000000" w:rsidR="00000000" w:rsidRPr="00000000">
        <w:rPr>
          <w:rtl w:val="0"/>
        </w:rPr>
        <w:t xml:space="preserve"> (“Partners”).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ownership, finances, and decision-making for Big Bond Festival as it grows into a profitable and sustainable event.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dnou7v5o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Ownership &amp; Partnership Split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of Big Bond Festival is divided as follows: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Ceilings No Floors: ___%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MadPeople: ___%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 Drum &amp; Bass: ___%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percentages apply to profits, losses, and voting rights unless otherwise agreed in writing.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fzo6ohzgn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Previous Debts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existing debts related to past Big Bond events will be documented and repaid from future event profits before partner profit payouts.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Debt repayment priority will be: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Event-critical vendors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advances made by partners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list expenses/payments owed here matt/benny/jordan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expenses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df89s7h3h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Budget &amp; Financial Planning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budget will be created for each event and must be approved by a majority of partners.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Budget Committee</w:t>
      </w:r>
      <w:r w:rsidDel="00000000" w:rsidR="00000000" w:rsidRPr="00000000">
        <w:rPr>
          <w:rtl w:val="0"/>
        </w:rPr>
        <w:t xml:space="preserve"> may be formed consisting of at least 2 partners.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budget/planning meetings will occur at key milestones (booking, marketing launch, final production phase).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psnmtumws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Future Goals &amp; Expectations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Bond aims to: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out attendance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experience and production quality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artist and vendor pay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long-term brand value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sustainably without unpaid labor expectations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partners are expected to contribute time, skills, or resources toward these goals.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i0adrkeag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Increasing Artist &amp; Vendor Pay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revenue increases, a defined percentage of additional profit will be allocated to improving artist and vendor compensation before increasing partner payouts, when financially feasible.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jc5yookjt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Profit Use &amp; Partner Payouts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expenses and debt repayment, profits may be: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Reinvested into the next event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 as reserves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to partners based on ownership %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payouts require majority approval.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partner is guaranteed payout if funds are needed for operations.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o6qud9zj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MVP &amp; Bonus Awards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approve financial bonuses for individuals who go above and beyond (“MVPs”) per event.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awards must be agreed upon before or after an event and documented.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3xed7pft7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Graphic Design Scope &amp; Pay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graphic designer’s standard scope includes event branding and core marketing assets.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requests beyond this scope (extra revisions, custom animations, merch design, etc.) will be compensated at an agreed rate or flat bonus per event.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1mhn5r4y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to Agreement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changes must be approved by a majority of partners and recorded in writing.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Ceilings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Floors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MadPeople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 Drum &amp; Bass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