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media/image2.svg" ContentType="image/svg"/>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contextualSpacing/>
        <w:rPr/>
      </w:pPr>
      <w:r>
        <w:rPr/>
        <w:t>CS 255 Module Two Assignment Template</w:t>
      </w:r>
    </w:p>
    <w:p>
      <w:pPr>
        <w:pStyle w:val="Normal"/>
        <w:spacing w:lineRule="auto" w:line="240"/>
        <w:rPr>
          <w:rFonts w:ascii="Calibri" w:hAnsi="Calibri" w:cs="Calibri" w:asciiTheme="majorHAnsi" w:cstheme="majorHAnsi" w:hAnsiTheme="majorHAnsi"/>
          <w:sz w:val="22"/>
          <w:szCs w:val="22"/>
        </w:rPr>
      </w:pPr>
      <w:r>
        <w:rPr>
          <w:rFonts w:cs="Calibri" w:cstheme="majorHAnsi"/>
          <w:sz w:val="22"/>
          <w:szCs w:val="22"/>
        </w:rPr>
      </w:r>
    </w:p>
    <w:p>
      <w:pPr>
        <w:pStyle w:val="Heading2"/>
        <w:rPr/>
      </w:pPr>
      <w:bookmarkStart w:id="0" w:name="_heading=h.gjdgxs"/>
      <w:bookmarkEnd w:id="0"/>
      <w:r>
        <w:rPr/>
        <w:t>Functional Requirements</w:t>
      </w:r>
    </w:p>
    <w:p>
      <w:pPr>
        <w:pStyle w:val="Normal"/>
        <w:rPr/>
      </w:pPr>
      <w:r>
        <w:rPr/>
      </w:r>
    </w:p>
    <w:tbl>
      <w:tblPr>
        <w:tblStyle w:val="a7"/>
        <w:tblW w:w="9350" w:type="dxa"/>
        <w:jc w:val="start"/>
        <w:tblInd w:w="0" w:type="dxa"/>
        <w:tblLayout w:type="fixed"/>
        <w:tblCellMar>
          <w:top w:w="0" w:type="dxa"/>
          <w:start w:w="115" w:type="dxa"/>
          <w:bottom w:w="0" w:type="dxa"/>
          <w:end w:w="115" w:type="dxa"/>
        </w:tblCellMar>
        <w:tblLook w:noHBand="0" w:noVBand="1" w:firstColumn="0" w:lastRow="0" w:lastColumn="0" w:firstRow="0" w:val="0400"/>
      </w:tblPr>
      <w:tblGrid>
        <w:gridCol w:w="3116"/>
        <w:gridCol w:w="3117"/>
        <w:gridCol w:w="3117"/>
      </w:tblGrid>
      <w:tr>
        <w:trPr>
          <w:tblHeader w:val="true"/>
        </w:trPr>
        <w:tc>
          <w:tcPr>
            <w:tcW w:w="3116"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b/>
                <w:sz w:val="22"/>
                <w:szCs w:val="22"/>
              </w:rPr>
            </w:pPr>
            <w:r>
              <w:rPr>
                <w:rFonts w:cs="Calibri" w:cstheme="majorHAnsi"/>
                <w:b/>
                <w:sz w:val="22"/>
                <w:szCs w:val="22"/>
              </w:rPr>
              <w:t>Functional Requirement</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b/>
                <w:sz w:val="22"/>
                <w:szCs w:val="22"/>
              </w:rPr>
            </w:pPr>
            <w:r>
              <w:rPr>
                <w:rFonts w:cs="Calibri" w:cstheme="majorHAnsi"/>
                <w:b/>
                <w:sz w:val="22"/>
                <w:szCs w:val="22"/>
              </w:rPr>
              <w:t>Rationale for Requirement</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b/>
                <w:sz w:val="22"/>
                <w:szCs w:val="22"/>
              </w:rPr>
            </w:pPr>
            <w:r>
              <w:rPr>
                <w:rFonts w:cs="Calibri" w:cstheme="majorHAnsi"/>
                <w:b/>
                <w:sz w:val="22"/>
                <w:szCs w:val="22"/>
              </w:rPr>
              <w:t>Source(s), APA format</w:t>
            </w:r>
          </w:p>
        </w:tc>
      </w:tr>
      <w:tr>
        <w:trPr/>
        <w:tc>
          <w:tcPr>
            <w:tcW w:w="3116"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Instructors able to upload, organize, and publish course content</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Course content is one of the basic functions of an LMS. Students need a central location where they can find course materials, expectations, important dates, and activities, while instructors need a way to organize and manage that material throughout the course. Brightspace provides these functions through its Content tool, which supports documents, media, links, activities, and other course materials.</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(D2L Corporation, n.d.-a)</w:t>
            </w:r>
          </w:p>
        </w:tc>
      </w:tr>
      <w:tr>
        <w:trPr/>
        <w:tc>
          <w:tcPr>
            <w:tcW w:w="3116"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Instructors able to create assignments/due dates and allow students to submit their work electronically</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Online students need a reliable way to submit their work without relying on a separate system such as email or file sharing. Instructors also need to know what was submitted and when it was received. Brightspace supports the creation and management of assignments, records submission times, and provides instructors with access to submitted work for evaluation.</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(D2L Corporation, n.d.-d)</w:t>
            </w:r>
          </w:p>
        </w:tc>
      </w:tr>
      <w:tr>
        <w:trPr/>
        <w:tc>
          <w:tcPr>
            <w:tcW w:w="3116"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Instructors able to create and administer quizzes and allow student</w:t>
            </w:r>
            <w:r>
              <w:rPr>
                <w:rFonts w:cs="Calibri" w:cstheme="majorHAnsi"/>
                <w:sz w:val="22"/>
                <w:szCs w:val="22"/>
              </w:rPr>
              <w:t>s</w:t>
            </w:r>
            <w:r>
              <w:rPr>
                <w:rFonts w:cs="Calibri" w:cstheme="majorHAnsi"/>
                <w:sz w:val="22"/>
                <w:szCs w:val="22"/>
              </w:rPr>
              <w:t xml:space="preserve"> to complete and submit the quizzes</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Quizzes can serve several purposes in an online course, from checking whether students understand a module to conducting larger graded assessments. Keeping this functionality inside the LMS also gives students a consistent location for accessing their course work. Brightspace supports several types of quiz questions and allows quizzes to be used for diagnostic, formative, or summative assessment.</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(D2L Corporation, n.d.-d)</w:t>
            </w:r>
          </w:p>
        </w:tc>
      </w:tr>
      <w:tr>
        <w:trPr/>
        <w:tc>
          <w:tcPr>
            <w:tcW w:w="3116"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The LMS should provide areas within courses where students can participate in assigned discussions</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Online courses need a way for students to interact with course activities that is not limited to submitting individual assignments. Discussion activities provide another form of participation and can also be evaluated as part of the course. Brightspace treats discussions as assessable activities and allows instructors to review and evaluate discussion topics and individual participants.</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(D2L Corporation, n.d.-a; D2L Corporation, n.d.-d)</w:t>
            </w:r>
          </w:p>
        </w:tc>
      </w:tr>
      <w:tr>
        <w:trPr/>
        <w:tc>
          <w:tcPr>
            <w:tcW w:w="3116"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Instructors should be able to maintain a grade book that records grades from assignments, discussions, and quizzes</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Students need a consistent place to understand how they are performing in a course instead of having grades spread across individual activities. Instructors also need a central system for managing those grades. Brightspace connects assignments, discussions, and quizzes to its grade book, records the grades from those activities, and uses them when calculating the student's final grade. It also allows instructors to publish feedback along with evaluated work.</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(D2L Corporation, n.d.-d)</w:t>
            </w:r>
          </w:p>
        </w:tc>
      </w:tr>
      <w:tr>
        <w:trPr/>
        <w:tc>
          <w:tcPr>
            <w:tcW w:w="3116"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The LMS should track student progress through course content and assignments</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An LMS should do more than simply store course material. Students benefit from being able to see what they have already completed, while instructors need enough information to recognize whether students are keeping up with the course. Brightspace tracks completion of course content and provides progress information that instructors can use to view and compare student performance.</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(D2L Corporation, n.d.-a; D2L Corporation, n.d.-d)</w:t>
            </w:r>
          </w:p>
        </w:tc>
      </w:tr>
    </w:tbl>
    <w:p>
      <w:pPr>
        <w:pStyle w:val="Normal"/>
        <w:suppressAutoHyphens w:val="true"/>
        <w:spacing w:lineRule="auto" w:line="240" w:before="0" w:after="0"/>
        <w:contextualSpacing/>
        <w:rPr>
          <w:rFonts w:ascii="Calibri" w:hAnsi="Calibri" w:cs="Calibri" w:asciiTheme="majorHAnsi" w:cstheme="majorHAnsi" w:hAnsiTheme="majorHAnsi"/>
          <w:sz w:val="22"/>
          <w:szCs w:val="22"/>
        </w:rPr>
      </w:pPr>
      <w:r>
        <w:rPr>
          <w:rFonts w:cs="Calibri" w:cstheme="majorHAnsi"/>
          <w:sz w:val="22"/>
          <w:szCs w:val="22"/>
        </w:rPr>
      </w:r>
    </w:p>
    <w:p>
      <w:pPr>
        <w:pStyle w:val="Heading2"/>
        <w:rPr/>
      </w:pPr>
      <w:r>
        <w:rPr/>
        <w:t>Nonfunctional Requirements</w:t>
      </w:r>
    </w:p>
    <w:p>
      <w:pPr>
        <w:pStyle w:val="Normal"/>
        <w:rPr/>
      </w:pPr>
      <w:r>
        <w:rPr/>
      </w:r>
    </w:p>
    <w:tbl>
      <w:tblPr>
        <w:tblStyle w:val="a8"/>
        <w:tblW w:w="9350" w:type="dxa"/>
        <w:jc w:val="start"/>
        <w:tblInd w:w="0" w:type="dxa"/>
        <w:tblLayout w:type="fixed"/>
        <w:tblCellMar>
          <w:top w:w="0" w:type="dxa"/>
          <w:start w:w="115" w:type="dxa"/>
          <w:bottom w:w="0" w:type="dxa"/>
          <w:end w:w="115" w:type="dxa"/>
        </w:tblCellMar>
        <w:tblLook w:noHBand="0" w:noVBand="1" w:firstColumn="0" w:lastRow="0" w:lastColumn="0" w:firstRow="0" w:val="0400"/>
      </w:tblPr>
      <w:tblGrid>
        <w:gridCol w:w="3116"/>
        <w:gridCol w:w="3117"/>
        <w:gridCol w:w="3117"/>
      </w:tblGrid>
      <w:tr>
        <w:trPr>
          <w:tblHeader w:val="true"/>
        </w:trPr>
        <w:tc>
          <w:tcPr>
            <w:tcW w:w="3116"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b/>
                <w:sz w:val="22"/>
                <w:szCs w:val="22"/>
              </w:rPr>
            </w:pPr>
            <w:r>
              <w:rPr>
                <w:rFonts w:cs="Calibri" w:cstheme="majorHAnsi"/>
                <w:b/>
                <w:sz w:val="22"/>
                <w:szCs w:val="22"/>
              </w:rPr>
              <w:t>Nonfunctional Requirement</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b/>
                <w:sz w:val="22"/>
                <w:szCs w:val="22"/>
              </w:rPr>
            </w:pPr>
            <w:r>
              <w:rPr>
                <w:rFonts w:cs="Calibri" w:cstheme="majorHAnsi"/>
                <w:b/>
                <w:sz w:val="22"/>
                <w:szCs w:val="22"/>
              </w:rPr>
              <w:t>Rationale for Requirement</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b/>
                <w:sz w:val="22"/>
                <w:szCs w:val="22"/>
              </w:rPr>
            </w:pPr>
            <w:r>
              <w:rPr>
                <w:rFonts w:cs="Calibri" w:cstheme="majorHAnsi"/>
                <w:b/>
                <w:sz w:val="22"/>
                <w:szCs w:val="22"/>
              </w:rPr>
              <w:t>Source(s), APA format</w:t>
            </w:r>
          </w:p>
        </w:tc>
      </w:tr>
      <w:tr>
        <w:trPr/>
        <w:tc>
          <w:tcPr>
            <w:tcW w:w="3116"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The LMS should encrypt all user sessions and enforce role-based access controls</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An LMS contains information that should not be equally accessible to every user, including grades, student records, and administrative functions. Security therefore needs to be built into how users connect to and interact with the system rather than treated as an additional feature. Brightspace uses TLS for secure connections along with configurable access controls, session management, password policies, and other safeguards to protect user data.</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(D2L Corporation, n.d.-e)</w:t>
            </w:r>
          </w:p>
        </w:tc>
      </w:tr>
      <w:tr>
        <w:trPr/>
        <w:tc>
          <w:tcPr>
            <w:tcW w:w="3116"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The LMS should maintain at least 99.9% monthly availability</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Because YOUser University is offering online courses, the LMS is effectively the classroom. Students may need to access course materials, complete assignments, or take assessments at different times and from different locations, so extended or frequent outages could directly prevent them from completing coursework. Brightspace uses a 99.9% monthly availability commitment and has designed its infrastructure around redundancy and failover to maintain access when individual resources fail.</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(Willms &amp; Campbell, n.d.)</w:t>
            </w:r>
          </w:p>
        </w:tc>
      </w:tr>
      <w:tr>
        <w:trPr/>
        <w:tc>
          <w:tcPr>
            <w:tcW w:w="3116"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The LMS should continue to meet its established availability and performance requirements as usage increases to the university’s peak concurrent user load</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The number of students using the LMS is likely to change as YOUser University adds courses and increases enrollment. The system should be able to grow with the university rather than requiring a replacement once demand increases. Brightspace addresses this problem through scalable infrastructure and AWS auto-scaling, which allows additional resources to be provisioned as usage increases.</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(Willms &amp; Campbell, n.d.)</w:t>
            </w:r>
          </w:p>
        </w:tc>
      </w:tr>
      <w:tr>
        <w:trPr/>
        <w:tc>
          <w:tcPr>
            <w:tcW w:w="3116"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The LMS should create daily system snapshots, weekly full database backups, and hourly transaction-log backups with backups retained for at least 30 days</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Course content can be recreated if necessary, but losing submitted assignments, grades, or other recent student activity could have much larger consequences. Maintaining backups at several intervals reduces how much information could be lost and provides recovery options depending on the type of failure. Brightspace similarly uses daily snapshots, weekly full database backups, hourly transaction-log backups, and a 30-day retention period.</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(D2L Corporation, n.d.-c)</w:t>
            </w:r>
          </w:p>
        </w:tc>
      </w:tr>
      <w:tr>
        <w:trPr>
          <w:trHeight w:val="316" w:hRule="atLeast"/>
        </w:trPr>
        <w:tc>
          <w:tcPr>
            <w:tcW w:w="3116"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The LMS should conform to WCAG 2.2 Level AA accessibility requirements</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Online course material needs to remain usable by students with different accessibility needs and assistive technologies. Using an established standard also makes accessibility measurable instead of relying on a subjective requirement that the system simply be “accessible.” Brightspace uses WCAG 2.2 as the basis for its accessibility program and regularly evaluates the platform against those standards.</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(D2L Corporation, n.d.-b)</w:t>
            </w:r>
          </w:p>
        </w:tc>
      </w:tr>
      <w:tr>
        <w:trPr/>
        <w:tc>
          <w:tcPr>
            <w:tcW w:w="3116"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The LMS interface should use consistent terminology, navigation, and layouts for similar tasks, provide visible feedback, and provide clear instructions</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Students and instructors will use the LMS repeatedly throughout a course, so they should not have to relearn how the interface works when moving between different areas of the system. Consistency, feedback, and understandable error handling make the system easier to learn and reduce the chance that users are unsure whether an action was completed successfully. These principles align with Shneiderman's interface design rules concerning consistency, informative feedback, closure, and error prevention and recovery.</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(Shneiderman, n.d.)</w:t>
            </w:r>
          </w:p>
        </w:tc>
      </w:tr>
    </w:tbl>
    <w:p>
      <w:pPr>
        <w:pStyle w:val="Normal"/>
        <w:suppressAutoHyphens w:val="true"/>
        <w:spacing w:lineRule="auto" w:line="240" w:before="0" w:after="0"/>
        <w:contextualSpacing/>
        <w:rPr>
          <w:rFonts w:ascii="Calibri" w:hAnsi="Calibri" w:cs="Calibri" w:asciiTheme="majorHAnsi" w:cstheme="majorHAnsi" w:hAnsiTheme="majorHAnsi"/>
          <w:sz w:val="22"/>
          <w:szCs w:val="22"/>
        </w:rPr>
      </w:pPr>
      <w:r>
        <w:rPr>
          <w:rFonts w:cs="Calibri" w:cstheme="majorHAnsi"/>
          <w:sz w:val="22"/>
          <w:szCs w:val="22"/>
        </w:rPr>
      </w:r>
    </w:p>
    <w:p>
      <w:pPr>
        <w:pStyle w:val="Heading2"/>
        <w:rPr/>
      </w:pPr>
      <w:r>
        <w:rPr/>
        <w:t>Assumptions</w:t>
      </w:r>
    </w:p>
    <w:p>
      <w:pPr>
        <w:pStyle w:val="Normal"/>
        <w:rPr/>
      </w:pPr>
      <w:r>
        <w:rPr/>
      </w:r>
    </w:p>
    <w:tbl>
      <w:tblPr>
        <w:tblStyle w:val="a9"/>
        <w:tblW w:w="9350" w:type="dxa"/>
        <w:jc w:val="start"/>
        <w:tblInd w:w="0" w:type="dxa"/>
        <w:tblLayout w:type="fixed"/>
        <w:tblCellMar>
          <w:top w:w="0" w:type="dxa"/>
          <w:start w:w="115" w:type="dxa"/>
          <w:bottom w:w="0" w:type="dxa"/>
          <w:end w:w="115" w:type="dxa"/>
        </w:tblCellMar>
        <w:tblLook w:noHBand="0" w:noVBand="1" w:firstColumn="0" w:lastRow="0" w:lastColumn="0" w:firstRow="0" w:val="0400"/>
      </w:tblPr>
      <w:tblGrid>
        <w:gridCol w:w="3116"/>
        <w:gridCol w:w="3117"/>
        <w:gridCol w:w="3117"/>
      </w:tblGrid>
      <w:tr>
        <w:trPr>
          <w:tblHeader w:val="true"/>
        </w:trPr>
        <w:tc>
          <w:tcPr>
            <w:tcW w:w="3116"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b/>
                <w:sz w:val="22"/>
                <w:szCs w:val="22"/>
              </w:rPr>
            </w:pPr>
            <w:r>
              <w:rPr>
                <w:rFonts w:cs="Calibri" w:cstheme="majorHAnsi"/>
                <w:b/>
                <w:sz w:val="22"/>
                <w:szCs w:val="22"/>
              </w:rPr>
              <w:t>Assumption</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b/>
                <w:sz w:val="22"/>
                <w:szCs w:val="22"/>
              </w:rPr>
            </w:pPr>
            <w:r>
              <w:rPr>
                <w:rFonts w:cs="Calibri" w:cstheme="majorHAnsi"/>
                <w:b/>
                <w:sz w:val="22"/>
                <w:szCs w:val="22"/>
              </w:rPr>
              <w:t>Rationale for Requirement</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b/>
                <w:sz w:val="22"/>
                <w:szCs w:val="22"/>
              </w:rPr>
            </w:pPr>
            <w:r>
              <w:rPr>
                <w:rFonts w:cs="Calibri" w:cstheme="majorHAnsi"/>
                <w:b/>
                <w:sz w:val="22"/>
                <w:szCs w:val="22"/>
              </w:rPr>
              <w:t>Source(s), APA format</w:t>
            </w:r>
          </w:p>
        </w:tc>
      </w:tr>
      <w:tr>
        <w:trPr/>
        <w:tc>
          <w:tcPr>
            <w:tcW w:w="3116"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Students, instructors, and admins will have reliable internet access and a</w:t>
            </w:r>
            <w:r>
              <w:rPr>
                <w:rFonts w:cs="Calibri" w:cstheme="majorHAnsi"/>
                <w:sz w:val="22"/>
                <w:szCs w:val="22"/>
              </w:rPr>
              <w:t>n</w:t>
            </w:r>
            <w:r>
              <w:rPr>
                <w:rFonts w:cs="Calibri" w:cstheme="majorHAnsi"/>
                <w:sz w:val="22"/>
                <w:szCs w:val="22"/>
              </w:rPr>
              <w:t xml:space="preserve"> internet-connected device</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YOUser University is being designed around online courses, so access to the LMS depends on users having the basic technology necessary to connect to it. Designing the system around users who do not have internet access would require a substantially different solution, such as offline course delivery. For the purposes of this design, I am assuming that users already have the internet access and hardware needed to participate in an online university.</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(Usmani, 2024)</w:t>
            </w:r>
          </w:p>
        </w:tc>
      </w:tr>
      <w:tr>
        <w:trPr/>
        <w:tc>
          <w:tcPr>
            <w:tcW w:w="3116"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YOUser University will provide and maintain accurate information about its students, instructors, courses, and enrollments</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The LMS can manage access to courses and provide different functionality to students, instructors, and administrators, but it first needs accurate information about who those users are and which courses they belong to. The system design therefore assumes that YOUser University will have an administrative process for supplying and maintaining this information. If the university provides incorrect enrollment or role information, the LMS could correctly process that data while still giving a user inappropriate access.</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(Usmani, 2024)</w:t>
            </w:r>
          </w:p>
        </w:tc>
      </w:tr>
    </w:tbl>
    <w:p>
      <w:pPr>
        <w:pStyle w:val="Normal"/>
        <w:spacing w:lineRule="auto" w:line="240"/>
        <w:rPr>
          <w:rFonts w:ascii="Calibri" w:hAnsi="Calibri" w:cs="Calibri" w:asciiTheme="majorHAnsi" w:cstheme="majorHAnsi" w:hAnsiTheme="majorHAnsi"/>
          <w:sz w:val="22"/>
          <w:szCs w:val="22"/>
        </w:rPr>
      </w:pPr>
      <w:r>
        <w:rPr>
          <w:rFonts w:cs="Calibri" w:cstheme="majorHAnsi"/>
          <w:sz w:val="22"/>
          <w:szCs w:val="22"/>
        </w:rPr>
      </w:r>
    </w:p>
    <w:p>
      <w:pPr>
        <w:pStyle w:val="Heading2"/>
        <w:rPr/>
      </w:pPr>
      <w:r>
        <w:rPr/>
        <w:t>Limitations</w:t>
      </w:r>
    </w:p>
    <w:p>
      <w:pPr>
        <w:pStyle w:val="Normal"/>
        <w:rPr/>
      </w:pPr>
      <w:r>
        <w:rPr/>
      </w:r>
    </w:p>
    <w:tbl>
      <w:tblPr>
        <w:tblStyle w:val="aa"/>
        <w:tblW w:w="9350" w:type="dxa"/>
        <w:jc w:val="start"/>
        <w:tblInd w:w="0" w:type="dxa"/>
        <w:tblLayout w:type="fixed"/>
        <w:tblCellMar>
          <w:top w:w="0" w:type="dxa"/>
          <w:start w:w="115" w:type="dxa"/>
          <w:bottom w:w="0" w:type="dxa"/>
          <w:end w:w="115" w:type="dxa"/>
        </w:tblCellMar>
        <w:tblLook w:noHBand="0" w:noVBand="1" w:firstColumn="0" w:lastRow="0" w:lastColumn="0" w:firstRow="0" w:val="0400"/>
      </w:tblPr>
      <w:tblGrid>
        <w:gridCol w:w="3116"/>
        <w:gridCol w:w="3117"/>
        <w:gridCol w:w="3117"/>
      </w:tblGrid>
      <w:tr>
        <w:trPr>
          <w:tblHeader w:val="true"/>
        </w:trPr>
        <w:tc>
          <w:tcPr>
            <w:tcW w:w="3116"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b/>
                <w:sz w:val="22"/>
                <w:szCs w:val="22"/>
              </w:rPr>
            </w:pPr>
            <w:r>
              <w:rPr>
                <w:rFonts w:cs="Calibri" w:cstheme="majorHAnsi"/>
                <w:b/>
                <w:sz w:val="22"/>
                <w:szCs w:val="22"/>
              </w:rPr>
              <w:t>Limitation</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b/>
                <w:sz w:val="22"/>
                <w:szCs w:val="22"/>
              </w:rPr>
            </w:pPr>
            <w:r>
              <w:rPr>
                <w:rFonts w:cs="Calibri" w:cstheme="majorHAnsi"/>
                <w:b/>
                <w:sz w:val="22"/>
                <w:szCs w:val="22"/>
              </w:rPr>
              <w:t>Rationale for Requirement</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b/>
                <w:sz w:val="22"/>
                <w:szCs w:val="22"/>
              </w:rPr>
            </w:pPr>
            <w:r>
              <w:rPr>
                <w:rFonts w:cs="Calibri" w:cstheme="majorHAnsi"/>
                <w:b/>
                <w:sz w:val="22"/>
                <w:szCs w:val="22"/>
              </w:rPr>
              <w:t>Source(s), APA format</w:t>
            </w:r>
          </w:p>
        </w:tc>
      </w:tr>
      <w:tr>
        <w:trPr/>
        <w:tc>
          <w:tcPr>
            <w:tcW w:w="3116"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The LMS will be limited to web-based access through supported web browsers and will not include a native mobile app</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Supporting a responsive web interface allows students and instructors to use the LMS from many different devices without requiring the university to develop and maintain separate applications for each mobile platform. A native application could be added later, but including one in the initial design would increase the amount of development, testing, and maintenance required. Limiting the first version to browser-based access keeps the project focused on the core LMS functionality while still allowing access from both computers and mobile devices.</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(Usmani, 2024)</w:t>
            </w:r>
          </w:p>
        </w:tc>
      </w:tr>
      <w:tr>
        <w:trPr/>
        <w:tc>
          <w:tcPr>
            <w:tcW w:w="3116"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The LMS will be limited to course delivery and learning management functions and won’t replace separate university systems for areas such as admissions, billing, financial aid, or other admin services</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An LMS needs information about students, instructors, courses, and enrollments, but that does not mean it should be responsible for every function performed by the university. Expanding the system to include admissions, billing, financial aid, and other administrative processes would substantially increase the scope and complexity of the project. Defining those functions as outside the LMS establishes a clear system boundary while still allowing the LMS to receive the information it needs from other university systems.</w:t>
            </w:r>
          </w:p>
        </w:tc>
        <w:tc>
          <w:tcPr>
            <w:tcW w:w="3117" w:type="dxa"/>
            <w:tcBorders>
              <w:top w:val="single" w:sz="4" w:space="0" w:color="000000"/>
              <w:start w:val="single" w:sz="4" w:space="0" w:color="000000"/>
              <w:bottom w:val="single" w:sz="4" w:space="0" w:color="000000"/>
              <w:end w:val="single" w:sz="4" w:space="0" w:color="000000"/>
            </w:tcBorders>
          </w:tcPr>
          <w:p>
            <w:pPr>
              <w:pStyle w:val="Normal"/>
              <w:suppressAutoHyphens w:val="true"/>
              <w:spacing w:before="0" w:after="0"/>
              <w:contextualSpacing/>
              <w:rPr>
                <w:rFonts w:ascii="Calibri" w:hAnsi="Calibri" w:cs="Calibri" w:asciiTheme="majorHAnsi" w:cstheme="majorHAnsi" w:hAnsiTheme="majorHAnsi"/>
                <w:sz w:val="22"/>
                <w:szCs w:val="22"/>
              </w:rPr>
            </w:pPr>
            <w:r>
              <w:rPr>
                <w:rFonts w:cs="Calibri" w:cstheme="majorHAnsi"/>
                <w:sz w:val="22"/>
                <w:szCs w:val="22"/>
              </w:rPr>
              <w:t>(Usmani, 2024)</w:t>
            </w:r>
          </w:p>
        </w:tc>
      </w:tr>
    </w:tbl>
    <w:p>
      <w:pPr>
        <w:pStyle w:val="Normal"/>
        <w:suppressAutoHyphens w:val="true"/>
        <w:spacing w:lineRule="auto" w:line="240" w:before="0" w:after="0"/>
        <w:contextualSpacing/>
        <w:rPr>
          <w:rFonts w:ascii="Calibri" w:hAnsi="Calibri" w:cs="Calibri" w:asciiTheme="majorHAnsi" w:cstheme="majorHAnsi" w:hAnsiTheme="majorHAnsi"/>
          <w:sz w:val="22"/>
          <w:szCs w:val="22"/>
        </w:rPr>
      </w:pPr>
      <w:r>
        <w:rPr>
          <w:rFonts w:cs="Calibri" w:cstheme="majorHAnsi"/>
          <w:sz w:val="22"/>
          <w:szCs w:val="22"/>
        </w:rPr>
      </w:r>
    </w:p>
    <w:p>
      <w:pPr>
        <w:pStyle w:val="Heading2"/>
        <w:rPr/>
      </w:pPr>
      <w:r>
        <w:rPr/>
        <w:t>Resources</w:t>
      </w:r>
    </w:p>
    <w:p>
      <w:pPr>
        <w:pStyle w:val="Normal"/>
        <w:rPr/>
      </w:pPr>
      <w:r>
        <w:rPr/>
      </w:r>
    </w:p>
    <w:p>
      <w:pPr>
        <w:pStyle w:val="Normal"/>
        <w:rPr/>
      </w:pPr>
      <w:r>
        <w:rPr/>
        <w:t xml:space="preserve">D2L Corporation. (n.d.-a). </w:t>
      </w:r>
      <w:r>
        <w:rPr>
          <w:i/>
          <w:iCs/>
        </w:rPr>
        <w:t>About content.</w:t>
      </w:r>
      <w:r>
        <w:rPr/>
        <w:t xml:space="preserve"> Brightspace Community. </w:t>
      </w:r>
      <w:hyperlink r:id="rId2">
        <w:r>
          <w:rPr>
            <w:rStyle w:val="Hyperlink"/>
          </w:rPr>
          <w:t>https://community.d2l.com/brightspace/kb/articles/1689-about-content</w:t>
        </w:r>
      </w:hyperlink>
    </w:p>
    <w:p>
      <w:pPr>
        <w:pStyle w:val="Normal"/>
        <w:rPr/>
      </w:pPr>
      <w:r>
        <w:rPr/>
      </w:r>
    </w:p>
    <w:p>
      <w:pPr>
        <w:pStyle w:val="Normal"/>
        <w:rPr/>
      </w:pPr>
      <w:r>
        <w:rPr/>
        <w:t xml:space="preserve">D2L Corporation. (n.d.-b). </w:t>
      </w:r>
      <w:r>
        <w:rPr>
          <w:i/>
          <w:iCs/>
        </w:rPr>
        <w:t>Accessibility standards.</w:t>
      </w:r>
      <w:r>
        <w:rPr/>
        <w:t xml:space="preserve"> D2L. </w:t>
      </w:r>
      <w:hyperlink r:id="rId3">
        <w:r>
          <w:rPr>
            <w:rStyle w:val="Hyperlink"/>
          </w:rPr>
          <w:t>https://www.d2l.com/accessibility/standards/</w:t>
        </w:r>
      </w:hyperlink>
    </w:p>
    <w:p>
      <w:pPr>
        <w:pStyle w:val="Normal"/>
        <w:rPr/>
      </w:pPr>
      <w:r>
        <w:rPr/>
      </w:r>
    </w:p>
    <w:p>
      <w:pPr>
        <w:pStyle w:val="Normal"/>
        <w:rPr/>
      </w:pPr>
      <w:r>
        <w:rPr/>
        <w:t xml:space="preserve">D2L Corporation. (n.d.-c). </w:t>
      </w:r>
      <w:r>
        <w:rPr>
          <w:i/>
          <w:iCs/>
        </w:rPr>
        <w:t>Default URL and backup configurations.</w:t>
      </w:r>
      <w:r>
        <w:rPr/>
        <w:t xml:space="preserve"> Brightspace Community. </w:t>
      </w:r>
      <w:hyperlink r:id="rId4">
        <w:r>
          <w:rPr>
            <w:rStyle w:val="Hyperlink"/>
          </w:rPr>
          <w:t>https://community.d2l.com/brightspace/kb/articles/4738-default-url-and-backup-configurations</w:t>
        </w:r>
      </w:hyperlink>
    </w:p>
    <w:p>
      <w:pPr>
        <w:pStyle w:val="Normal"/>
        <w:rPr/>
      </w:pPr>
      <w:r>
        <w:rPr/>
      </w:r>
    </w:p>
    <w:p>
      <w:pPr>
        <w:pStyle w:val="Normal"/>
        <w:rPr/>
      </w:pPr>
      <w:r>
        <w:rPr/>
        <w:t>D2L Corporation. (n.d.-b). Evaluate learner progress using Brightspace assessment tools. Brightspace Community.</w:t>
      </w:r>
      <w:hyperlink r:id="rId5">
        <w:r>
          <w:rPr>
            <w:rStyle w:val="Hyperlink"/>
          </w:rPr>
          <w:t>https://community.d2l.com/brightspace/kb/articles/26121-evaluate-learner-progress-using-brightspace-assessment-tools</w:t>
        </w:r>
      </w:hyperlink>
    </w:p>
    <w:p>
      <w:pPr>
        <w:pStyle w:val="Normal"/>
        <w:rPr/>
      </w:pPr>
      <w:r>
        <w:rPr/>
      </w:r>
    </w:p>
    <w:p>
      <w:pPr>
        <w:pStyle w:val="Normal"/>
        <w:rPr/>
      </w:pPr>
      <w:r>
        <w:rPr/>
        <w:t xml:space="preserve">D2L Corporation. (n.d.-e). </w:t>
      </w:r>
      <w:r>
        <w:rPr>
          <w:i/>
          <w:iCs/>
        </w:rPr>
        <w:t>LMS security, monitoring &amp; protection.</w:t>
      </w:r>
      <w:r>
        <w:rPr/>
        <w:t xml:space="preserve"> D2L. </w:t>
      </w:r>
      <w:hyperlink r:id="rId6">
        <w:r>
          <w:rPr>
            <w:rStyle w:val="Hyperlink"/>
          </w:rPr>
          <w:t>https://www.d2l.com/security/</w:t>
        </w:r>
      </w:hyperlink>
    </w:p>
    <w:p>
      <w:pPr>
        <w:pStyle w:val="Normal"/>
        <w:rPr/>
      </w:pPr>
      <w:r>
        <w:rPr/>
      </w:r>
    </w:p>
    <w:p>
      <w:pPr>
        <w:pStyle w:val="Normal"/>
        <w:rPr/>
      </w:pPr>
      <w:r>
        <w:rPr/>
        <w:t xml:space="preserve">Shneiderman, B. (n.d.). </w:t>
      </w:r>
      <w:r>
        <w:rPr>
          <w:i/>
          <w:iCs/>
        </w:rPr>
        <w:t>The eight golden rules of interface design.</w:t>
      </w:r>
      <w:r>
        <w:rPr/>
        <w:t xml:space="preserve"> University of Maryland. </w:t>
      </w:r>
      <w:hyperlink r:id="rId7">
        <w:r>
          <w:rPr>
            <w:rStyle w:val="Hyperlink"/>
          </w:rPr>
          <w:t>https://www.cs.umd.edu/~ben/goldenrules.html</w:t>
        </w:r>
      </w:hyperlink>
    </w:p>
    <w:p>
      <w:pPr>
        <w:pStyle w:val="Normal"/>
        <w:rPr/>
      </w:pPr>
      <w:r>
        <w:rPr/>
      </w:r>
    </w:p>
    <w:p>
      <w:pPr>
        <w:pStyle w:val="Normal"/>
        <w:rPr/>
      </w:pPr>
      <w:r>
        <w:rPr/>
        <w:t xml:space="preserve">Willms, K., &amp; Campbell, M. (n.d.). </w:t>
      </w:r>
      <w:r>
        <w:rPr>
          <w:i/>
          <w:iCs/>
        </w:rPr>
        <w:t>Availability: The most important feature.</w:t>
      </w:r>
      <w:r>
        <w:rPr/>
        <w:t xml:space="preserve"> Brightspace Community. </w:t>
      </w:r>
      <w:hyperlink r:id="rId8">
        <w:r>
          <w:rPr>
            <w:rStyle w:val="Hyperlink"/>
          </w:rPr>
          <w:t>https://community.d2l.com/brightspace/kb/articles/23024-availability-the-most-important-feature</w:t>
        </w:r>
      </w:hyperlink>
    </w:p>
    <w:p>
      <w:pPr>
        <w:pStyle w:val="Normal"/>
        <w:rPr/>
      </w:pPr>
      <w:r>
        <w:rPr/>
      </w:r>
    </w:p>
    <w:p>
      <w:pPr>
        <w:pStyle w:val="Normal"/>
        <w:rPr/>
      </w:pPr>
      <w:r>
        <w:rPr/>
        <w:t xml:space="preserve">Usmani, F. (2024, July 29). </w:t>
      </w:r>
      <w:r>
        <w:rPr>
          <w:i/>
          <w:iCs/>
        </w:rPr>
        <w:t>Assumptions and constraints in project management.</w:t>
      </w:r>
      <w:r>
        <w:rPr/>
        <w:t xml:space="preserve"> PM Study Circle. </w:t>
      </w:r>
      <w:hyperlink r:id="rId9">
        <w:r>
          <w:rPr>
            <w:rStyle w:val="Hyperlink"/>
          </w:rPr>
          <w:t>https://pmstudycircle.com/assumptions-and-constraints-in-project-management/</w:t>
        </w:r>
      </w:hyperlink>
    </w:p>
    <w:p>
      <w:pPr>
        <w:pStyle w:val="Normal"/>
        <w:rPr/>
      </w:pPr>
      <w:r>
        <w:rPr/>
      </w:r>
    </w:p>
    <w:p>
      <w:pPr>
        <w:pStyle w:val="Normal"/>
        <w:rPr/>
      </w:pPr>
      <w:r>
        <w:rPr/>
      </w:r>
    </w:p>
    <w:sectPr>
      <w:headerReference w:type="even" r:id="rId10"/>
      <w:headerReference w:type="default" r:id="rId11"/>
      <w:headerReference w:type="first" r:id="rId12"/>
      <w:footerReference w:type="even" r:id="rId13"/>
      <w:footerReference w:type="default" r:id="rId14"/>
      <w:footerReference w:type="first" r:id="rId15"/>
      <w:type w:val="nextPage"/>
      <w:pgSz w:w="12240" w:h="15840"/>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Segoe UI">
    <w:charset w:val="01" w:characterSet="utf-8"/>
    <w:family w:val="swiss"/>
    <w:pitch w:val="variable"/>
  </w:font>
  <w:font w:name="Liberation Sans">
    <w:altName w:val="Arial"/>
    <w:charset w:val="01" w:characterSet="utf-8"/>
    <w:family w:val="swiss"/>
    <w:pitch w:val="variable"/>
  </w:font>
  <w:font w:name="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spacing w:lineRule="auto" w:line="240"/>
      <w:jc w:val="center"/>
      <w:rPr>
        <w:color w:val="000000"/>
        <w:sz w:val="22"/>
        <w:szCs w:val="22"/>
      </w:rPr>
    </w:pPr>
    <w:r>
      <w:rPr>
        <w:color w:val="000000"/>
        <w:sz w:val="22"/>
        <w:szCs w:val="22"/>
      </w:rPr>
      <w:fldChar w:fldCharType="begin"/>
    </w:r>
    <w:r>
      <w:rPr>
        <w:color w:val="000000"/>
        <w:sz w:val="22"/>
        <w:szCs w:val="22"/>
      </w:rPr>
      <w:instrText xml:space="preserve"> PAGE </w:instrText>
    </w:r>
    <w:r>
      <w:rPr>
        <w:color w:val="000000"/>
        <w:sz w:val="22"/>
        <w:szCs w:val="22"/>
      </w:rPr>
      <w:fldChar w:fldCharType="separate"/>
    </w:r>
    <w:r>
      <w:rPr>
        <w:color w:val="000000"/>
        <w:sz w:val="22"/>
        <w:szCs w:val="22"/>
      </w:rPr>
      <w:t>8</w:t>
    </w:r>
    <w:r>
      <w:rPr>
        <w:color w:val="000000"/>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spacing w:lineRule="auto" w:line="240"/>
      <w:jc w:val="center"/>
      <w:rPr>
        <w:color w:val="000000"/>
        <w:sz w:val="22"/>
        <w:szCs w:val="22"/>
      </w:rPr>
    </w:pPr>
    <w:r>
      <w:rPr>
        <w:color w:val="000000"/>
        <w:sz w:val="22"/>
        <w:szCs w:val="22"/>
      </w:rPr>
      <w:fldChar w:fldCharType="begin"/>
    </w:r>
    <w:r>
      <w:rPr>
        <w:color w:val="000000"/>
        <w:sz w:val="22"/>
        <w:szCs w:val="22"/>
      </w:rPr>
      <w:instrText xml:space="preserve"> PAGE </w:instrText>
    </w:r>
    <w:r>
      <w:rPr>
        <w:color w:val="000000"/>
        <w:sz w:val="22"/>
        <w:szCs w:val="22"/>
      </w:rPr>
      <w:fldChar w:fldCharType="separate"/>
    </w:r>
    <w:r>
      <w:rPr>
        <w:color w:val="000000"/>
        <w:sz w:val="22"/>
        <w:szCs w:val="22"/>
      </w:rPr>
      <w:t>8</w:t>
    </w:r>
    <w:r>
      <w:rPr>
        <w:color w:val="000000"/>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2"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a:noFill/>
                </pic:spPr>
              </pic:pic>
            </a:graphicData>
          </a:graphic>
        </wp:inline>
      </w:drawing>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start"/>
    </w:pPr>
    <w:rPr>
      <w:rFonts w:ascii="Calibri" w:hAnsi="Calibri" w:eastAsia="Calibri" w:cs="Calibri"/>
      <w:color w:val="auto"/>
      <w:kern w:val="0"/>
      <w:sz w:val="24"/>
      <w:szCs w:val="24"/>
      <w:lang w:val="en-US" w:eastAsia="en-US" w:bidi="ar-SA"/>
    </w:rPr>
  </w:style>
  <w:style w:type="paragraph" w:styleId="Heading1">
    <w:name w:val="heading 1"/>
    <w:basedOn w:val="Title"/>
    <w:next w:val="Normal"/>
    <w:uiPriority w:val="9"/>
    <w:qFormat/>
    <w:rsid w:val="00ac403d"/>
    <w:pPr>
      <w:keepNext w:val="false"/>
      <w:keepLines w:val="false"/>
      <w:suppressAutoHyphens w:val="true"/>
      <w:spacing w:lineRule="auto" w:line="240" w:before="240" w:after="0"/>
      <w:contextualSpacing/>
      <w:jc w:val="center"/>
      <w:outlineLvl w:val="0"/>
    </w:pPr>
    <w:rPr>
      <w:rFonts w:ascii="Calibri" w:hAnsi="Calibri" w:cs="Calibri" w:asciiTheme="majorHAnsi" w:cstheme="majorHAnsi" w:hAnsiTheme="majorHAnsi"/>
      <w:b/>
      <w:sz w:val="24"/>
      <w:szCs w:val="24"/>
    </w:rPr>
  </w:style>
  <w:style w:type="paragraph" w:styleId="Heading2">
    <w:name w:val="heading 2"/>
    <w:basedOn w:val="Heading1"/>
    <w:next w:val="Normal"/>
    <w:uiPriority w:val="9"/>
    <w:unhideWhenUsed/>
    <w:qFormat/>
    <w:rsid w:val="00ac403d"/>
    <w:pPr>
      <w:jc w:val="start"/>
      <w:outlineLvl w:val="1"/>
    </w:pPr>
    <w:rPr>
      <w:sz w:val="22"/>
      <w:szCs w:val="2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rPr>
  </w:style>
  <w:style w:type="paragraph" w:styleId="Heading5">
    <w:name w:val="heading 5"/>
    <w:basedOn w:val="Normal"/>
    <w:next w:val="Normal"/>
    <w:uiPriority w:val="9"/>
    <w:semiHidden/>
    <w:unhideWhenUsed/>
    <w:qFormat/>
    <w:pPr>
      <w:keepNext w:val="true"/>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val="true"/>
      <w:keepLines/>
      <w:spacing w:before="240" w:after="80"/>
      <w:outlineLvl w:val="5"/>
    </w:pPr>
    <w:rPr>
      <w:i/>
      <w:color w:val="666666"/>
      <w:sz w:val="22"/>
      <w:szCs w:val="22"/>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9d26ab"/>
    <w:rPr>
      <w:rFonts w:ascii="Segoe UI" w:hAnsi="Segoe UI" w:cs="Segoe UI"/>
      <w:sz w:val="18"/>
      <w:szCs w:val="18"/>
    </w:rPr>
  </w:style>
  <w:style w:type="character" w:styleId="HeaderChar" w:customStyle="1">
    <w:name w:val="Header Char"/>
    <w:basedOn w:val="DefaultParagraphFont"/>
    <w:link w:val="Header"/>
    <w:uiPriority w:val="99"/>
    <w:qFormat/>
    <w:rsid w:val="009d26ab"/>
    <w:rPr/>
  </w:style>
  <w:style w:type="character" w:styleId="FooterChar" w:customStyle="1">
    <w:name w:val="Footer Char"/>
    <w:basedOn w:val="DefaultParagraphFont"/>
    <w:link w:val="Footer"/>
    <w:uiPriority w:val="99"/>
    <w:qFormat/>
    <w:rsid w:val="009d26ab"/>
    <w:rPr/>
  </w:style>
  <w:style w:type="character" w:styleId="CommentSubjectChar" w:customStyle="1">
    <w:name w:val="Comment Subject Char"/>
    <w:basedOn w:val="CommentTextChar"/>
    <w:link w:val="annotationsubject"/>
    <w:uiPriority w:val="99"/>
    <w:semiHidden/>
    <w:qFormat/>
    <w:rsid w:val="00c567dc"/>
    <w:rPr>
      <w:b/>
      <w:bCs/>
      <w:sz w:val="20"/>
      <w:szCs w:val="20"/>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rFonts w:ascii="Arial" w:hAnsi="Arial" w:eastAsia="Arial" w:cs="Arial"/>
      <w:color w:val="666666"/>
      <w:sz w:val="30"/>
      <w:szCs w:val="30"/>
    </w:rPr>
  </w:style>
  <w:style w:type="paragraph" w:styleId="CommentText">
    <w:name w:val="annotation text"/>
    <w:basedOn w:val="Normal"/>
    <w:link w:val="CommentTextChar"/>
    <w:uiPriority w:val="99"/>
    <w:semiHidden/>
    <w:unhideWhenUsed/>
    <w:pPr>
      <w:spacing w:lineRule="auto" w:line="240"/>
    </w:pPr>
    <w:rPr>
      <w:sz w:val="20"/>
      <w:szCs w:val="20"/>
    </w:rPr>
  </w:style>
  <w:style w:type="paragraph" w:styleId="BalloonText">
    <w:name w:val="Balloon Text"/>
    <w:basedOn w:val="Normal"/>
    <w:link w:val="BalloonTextChar"/>
    <w:uiPriority w:val="99"/>
    <w:semiHidden/>
    <w:unhideWhenUsed/>
    <w:qFormat/>
    <w:rsid w:val="009d26ab"/>
    <w:pPr>
      <w:spacing w:lineRule="auto" w:line="240"/>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9d26ab"/>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9d26ab"/>
    <w:pPr>
      <w:tabs>
        <w:tab w:val="clear" w:pos="720"/>
        <w:tab w:val="center" w:pos="4680" w:leader="none"/>
        <w:tab w:val="right" w:pos="9360" w:leader="none"/>
      </w:tabs>
      <w:spacing w:lineRule="auto" w:line="240"/>
    </w:pPr>
    <w:rPr/>
  </w:style>
  <w:style w:type="paragraph" w:styleId="annotationsubject">
    <w:name w:val="annotation subject"/>
    <w:basedOn w:val="CommentText"/>
    <w:next w:val="CommentText"/>
    <w:link w:val="CommentSubjectChar"/>
    <w:uiPriority w:val="99"/>
    <w:semiHidden/>
    <w:unhideWhenUsed/>
    <w:qFormat/>
    <w:rsid w:val="00c567dc"/>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d23e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ommunity.d2l.com/brightspace/kb/articles/1689-about-content" TargetMode="External"/><Relationship Id="rId3" Type="http://schemas.openxmlformats.org/officeDocument/2006/relationships/hyperlink" Target="https://www.d2l.com/accessibility/standards/" TargetMode="External"/><Relationship Id="rId4" Type="http://schemas.openxmlformats.org/officeDocument/2006/relationships/hyperlink" Target="https://community.d2l.com/brightspace/kb/articles/4738-default-url-and-backup-configurations" TargetMode="External"/><Relationship Id="rId5" Type="http://schemas.openxmlformats.org/officeDocument/2006/relationships/hyperlink" Target="https://community.d2l.com/brightspace/kb/articles/26121-evaluate-learner-progress-using-brightspace-assessment-tools" TargetMode="External"/><Relationship Id="rId6" Type="http://schemas.openxmlformats.org/officeDocument/2006/relationships/hyperlink" Target="https://www.d2l.com/security/" TargetMode="External"/><Relationship Id="rId7" Type="http://schemas.openxmlformats.org/officeDocument/2006/relationships/hyperlink" Target="https://www.cs.umd.edu/~ben/goldenrules.html" TargetMode="External"/><Relationship Id="rId8" Type="http://schemas.openxmlformats.org/officeDocument/2006/relationships/hyperlink" Target="https://community.d2l.com/brightspace/kb/articles/23024-availability-the-most-important-feature" TargetMode="External"/><Relationship Id="rId9" Type="http://schemas.openxmlformats.org/officeDocument/2006/relationships/hyperlink" Target="https://pmstudycircle.com/assumptions-and-constraints-in-project-management/" TargetMode="Externa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sv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sv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hUa0HG6gGpqrISqsJMuOekuxz3PA==">AMUW2mV1JliQ6kIe3OHyNvK76nBB9aABjer73nwRCxDTv1XhKCUCzdPLFu1FO+QyF1JC9OtWvQabxIQCLgjNIDv/wxIMhWh2mZ6CB+yzakJ48fYNmLtqk9pKsS7+KhYJRJxXMpQnJorg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Application>LibreOffice/26.2.6.3$Linux_X86_64 LibreOffice_project/620$Build-3</Application>
  <AppVersion>15.0000</AppVersion>
  <Pages>8</Pages>
  <Words>1479</Words>
  <Characters>9515</Characters>
  <CharactersWithSpaces>10918</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2019-12-16T14:24:00Z</dcterms:created>
  <dc:creator>Gentile, Amy</dc:creator>
  <dc:description/>
  <dc:language>en-US</dc:language>
  <cp:lastModifiedBy/>
  <dcterms:modified xsi:type="dcterms:W3CDTF">2026-09-17T16:59:09Z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