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2CCB4" w14:textId="3A4EE07F" w:rsidR="005F0CDD" w:rsidRDefault="003300B1" w:rsidP="005F0CDD">
      <w:pPr>
        <w:jc w:val="center"/>
        <w:rPr>
          <w:b/>
          <w:bCs/>
        </w:rPr>
      </w:pPr>
      <w:r>
        <w:rPr>
          <w:b/>
          <w:bCs/>
        </w:rPr>
        <w:t>3</w:t>
      </w:r>
      <w:r w:rsidR="001D5E1E">
        <w:rPr>
          <w:b/>
          <w:bCs/>
        </w:rPr>
        <w:t xml:space="preserve">-3 Activity: </w:t>
      </w:r>
      <w:r>
        <w:rPr>
          <w:b/>
          <w:bCs/>
        </w:rPr>
        <w:t>Subnetting Practice</w:t>
      </w:r>
    </w:p>
    <w:p w14:paraId="646E1B5F" w14:textId="77777777" w:rsidR="005F0CDD" w:rsidRDefault="005F0CDD" w:rsidP="005F0CDD">
      <w:pPr>
        <w:jc w:val="center"/>
      </w:pPr>
    </w:p>
    <w:p w14:paraId="3D83301F" w14:textId="309DF7C9" w:rsidR="005F0CDD" w:rsidRDefault="005F0CDD" w:rsidP="005F0CDD">
      <w:pPr>
        <w:jc w:val="center"/>
      </w:pPr>
      <w:r>
        <w:t>Blake Merry</w:t>
      </w:r>
    </w:p>
    <w:p w14:paraId="4720CB1F" w14:textId="741BC1BC" w:rsidR="005F0CDD" w:rsidRDefault="005F0CDD" w:rsidP="005F0CDD">
      <w:pPr>
        <w:jc w:val="center"/>
      </w:pPr>
      <w:r>
        <w:t>Southern New Hampshire University</w:t>
      </w:r>
    </w:p>
    <w:p w14:paraId="37DC939A" w14:textId="59B760FE" w:rsidR="005F0CDD" w:rsidRDefault="005F0CDD" w:rsidP="005F0CDD">
      <w:pPr>
        <w:jc w:val="center"/>
      </w:pPr>
      <w:r>
        <w:t>C</w:t>
      </w:r>
      <w:r w:rsidR="001D5E1E">
        <w:t>YB</w:t>
      </w:r>
      <w:r>
        <w:t>-2</w:t>
      </w:r>
      <w:r w:rsidR="006E5F39">
        <w:t>1</w:t>
      </w:r>
      <w:r>
        <w:t xml:space="preserve">0 </w:t>
      </w:r>
      <w:r w:rsidR="009B13C9">
        <w:t>Programming Language</w:t>
      </w:r>
    </w:p>
    <w:p w14:paraId="4C9CAF80" w14:textId="5207030B" w:rsidR="005F0CDD" w:rsidRDefault="00FF68C1" w:rsidP="005F0CDD">
      <w:pPr>
        <w:jc w:val="center"/>
      </w:pPr>
      <w:r>
        <w:t>Prof. Jamilah Telon</w:t>
      </w:r>
    </w:p>
    <w:p w14:paraId="5350A95C" w14:textId="4D8CE96D" w:rsidR="005F0CDD" w:rsidRDefault="00C84135" w:rsidP="005F0CDD">
      <w:pPr>
        <w:jc w:val="center"/>
      </w:pPr>
      <w:r>
        <w:t xml:space="preserve">March </w:t>
      </w:r>
      <w:r w:rsidR="003300B1">
        <w:t>26</w:t>
      </w:r>
      <w:r w:rsidR="005F0CDD">
        <w:t>, 2026</w:t>
      </w:r>
    </w:p>
    <w:p w14:paraId="5DEB8178" w14:textId="77777777" w:rsidR="005F0CDD" w:rsidRDefault="005F0CDD">
      <w:pPr>
        <w:spacing w:line="278" w:lineRule="auto"/>
      </w:pPr>
      <w:r>
        <w:br w:type="page"/>
      </w:r>
    </w:p>
    <w:p w14:paraId="2ED2B043" w14:textId="77777777" w:rsidR="005F0CDD" w:rsidRDefault="005F0CDD" w:rsidP="00C56ABE">
      <w:pPr>
        <w:sectPr w:rsidR="005F0CDD" w:rsidSect="005F0CDD">
          <w:headerReference w:type="default" r:id="rId7"/>
          <w:pgSz w:w="12240" w:h="15840" w:code="1"/>
          <w:pgMar w:top="1440" w:right="1440" w:bottom="1440" w:left="1440" w:header="720" w:footer="720" w:gutter="0"/>
          <w:cols w:space="720"/>
          <w:vAlign w:val="center"/>
          <w:docGrid w:linePitch="360"/>
        </w:sectPr>
      </w:pPr>
    </w:p>
    <w:p w14:paraId="535629B0" w14:textId="2F16C232" w:rsidR="007323BD" w:rsidRPr="007323BD" w:rsidRDefault="00197D85" w:rsidP="00197D85">
      <w:r>
        <w:rPr>
          <w:noProof/>
        </w:rPr>
        <w:lastRenderedPageBreak/>
        <w:drawing>
          <wp:inline distT="0" distB="0" distL="0" distR="0" wp14:anchorId="4F710EF8" wp14:editId="71B11004">
            <wp:extent cx="5934075" cy="3028950"/>
            <wp:effectExtent l="0" t="0" r="9525" b="0"/>
            <wp:docPr id="192221968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AD8D49F" wp14:editId="5551682F">
            <wp:extent cx="5943600" cy="2981325"/>
            <wp:effectExtent l="0" t="0" r="0" b="9525"/>
            <wp:docPr id="141607882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D10252" wp14:editId="1F783C2E">
            <wp:extent cx="5934075" cy="3009900"/>
            <wp:effectExtent l="0" t="0" r="9525" b="0"/>
            <wp:docPr id="3254101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00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8D1146B" wp14:editId="4BF0E7C1">
            <wp:extent cx="5943600" cy="3076575"/>
            <wp:effectExtent l="0" t="0" r="0" b="9525"/>
            <wp:docPr id="8111918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76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329BC1C" wp14:editId="73EBE727">
            <wp:extent cx="5934075" cy="3105150"/>
            <wp:effectExtent l="0" t="0" r="9525" b="0"/>
            <wp:docPr id="575714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323BD" w:rsidRPr="007323BD" w:rsidSect="005F0CDD">
      <w:pgSz w:w="12240" w:h="15840" w:code="1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7352BD" w14:textId="77777777" w:rsidR="008B279B" w:rsidRDefault="008B279B" w:rsidP="00EA2F9B">
      <w:pPr>
        <w:spacing w:after="0" w:line="240" w:lineRule="auto"/>
      </w:pPr>
      <w:r>
        <w:separator/>
      </w:r>
    </w:p>
  </w:endnote>
  <w:endnote w:type="continuationSeparator" w:id="0">
    <w:p w14:paraId="39545BFE" w14:textId="77777777" w:rsidR="008B279B" w:rsidRDefault="008B279B" w:rsidP="00EA2F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4089F4" w14:textId="77777777" w:rsidR="008B279B" w:rsidRDefault="008B279B" w:rsidP="00EA2F9B">
      <w:pPr>
        <w:spacing w:after="0" w:line="240" w:lineRule="auto"/>
      </w:pPr>
      <w:r>
        <w:separator/>
      </w:r>
    </w:p>
  </w:footnote>
  <w:footnote w:type="continuationSeparator" w:id="0">
    <w:p w14:paraId="0E49C547" w14:textId="77777777" w:rsidR="008B279B" w:rsidRDefault="008B279B" w:rsidP="00EA2F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162189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00A9E91" w14:textId="3D02C4D4" w:rsidR="00EA2F9B" w:rsidRDefault="00EA2F9B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FC6F9F3" w14:textId="77777777" w:rsidR="00EA2F9B" w:rsidRDefault="00EA2F9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0CDD"/>
    <w:rsid w:val="00036B67"/>
    <w:rsid w:val="000375CD"/>
    <w:rsid w:val="00082165"/>
    <w:rsid w:val="000B3E9C"/>
    <w:rsid w:val="000D23E6"/>
    <w:rsid w:val="001409A4"/>
    <w:rsid w:val="00143D73"/>
    <w:rsid w:val="001538AA"/>
    <w:rsid w:val="0016494D"/>
    <w:rsid w:val="00197D85"/>
    <w:rsid w:val="001D5864"/>
    <w:rsid w:val="001D5E1E"/>
    <w:rsid w:val="002065D3"/>
    <w:rsid w:val="002412FC"/>
    <w:rsid w:val="00280C8D"/>
    <w:rsid w:val="002C2E8E"/>
    <w:rsid w:val="002C3BA6"/>
    <w:rsid w:val="00302A69"/>
    <w:rsid w:val="00316C37"/>
    <w:rsid w:val="003300B1"/>
    <w:rsid w:val="00346754"/>
    <w:rsid w:val="003559D6"/>
    <w:rsid w:val="00371E86"/>
    <w:rsid w:val="00397FB0"/>
    <w:rsid w:val="003A3DAD"/>
    <w:rsid w:val="003C7304"/>
    <w:rsid w:val="0042356F"/>
    <w:rsid w:val="004315E2"/>
    <w:rsid w:val="00433CB4"/>
    <w:rsid w:val="00461B8C"/>
    <w:rsid w:val="004B32A5"/>
    <w:rsid w:val="004E78B1"/>
    <w:rsid w:val="00543351"/>
    <w:rsid w:val="005C3D42"/>
    <w:rsid w:val="005D0B1C"/>
    <w:rsid w:val="005F0CDD"/>
    <w:rsid w:val="00635C9A"/>
    <w:rsid w:val="00641ECD"/>
    <w:rsid w:val="00642CC9"/>
    <w:rsid w:val="0069369F"/>
    <w:rsid w:val="006964C8"/>
    <w:rsid w:val="006A17D1"/>
    <w:rsid w:val="006E5F39"/>
    <w:rsid w:val="006F0E10"/>
    <w:rsid w:val="007017A8"/>
    <w:rsid w:val="00706D28"/>
    <w:rsid w:val="00732226"/>
    <w:rsid w:val="007323BD"/>
    <w:rsid w:val="00763EE6"/>
    <w:rsid w:val="00784DE1"/>
    <w:rsid w:val="00797C00"/>
    <w:rsid w:val="007B24A6"/>
    <w:rsid w:val="007B392A"/>
    <w:rsid w:val="007D0E73"/>
    <w:rsid w:val="007D1864"/>
    <w:rsid w:val="007F0A99"/>
    <w:rsid w:val="008064E4"/>
    <w:rsid w:val="00822E3B"/>
    <w:rsid w:val="00825B6B"/>
    <w:rsid w:val="00867343"/>
    <w:rsid w:val="00883A96"/>
    <w:rsid w:val="008B279B"/>
    <w:rsid w:val="008B59DD"/>
    <w:rsid w:val="008C4912"/>
    <w:rsid w:val="008D1AE8"/>
    <w:rsid w:val="008E7DF9"/>
    <w:rsid w:val="00961249"/>
    <w:rsid w:val="009B13C9"/>
    <w:rsid w:val="009C5813"/>
    <w:rsid w:val="009C6A6F"/>
    <w:rsid w:val="009E65BB"/>
    <w:rsid w:val="00A04BBE"/>
    <w:rsid w:val="00A07B67"/>
    <w:rsid w:val="00A44282"/>
    <w:rsid w:val="00A53AF8"/>
    <w:rsid w:val="00A556EA"/>
    <w:rsid w:val="00A878E9"/>
    <w:rsid w:val="00A95CD9"/>
    <w:rsid w:val="00A960DA"/>
    <w:rsid w:val="00A97339"/>
    <w:rsid w:val="00AB248C"/>
    <w:rsid w:val="00AD3B94"/>
    <w:rsid w:val="00B41C3C"/>
    <w:rsid w:val="00B4783C"/>
    <w:rsid w:val="00B62B2C"/>
    <w:rsid w:val="00B63619"/>
    <w:rsid w:val="00B81561"/>
    <w:rsid w:val="00B858C6"/>
    <w:rsid w:val="00BF1729"/>
    <w:rsid w:val="00C15FFB"/>
    <w:rsid w:val="00C56ABE"/>
    <w:rsid w:val="00C84135"/>
    <w:rsid w:val="00C841A7"/>
    <w:rsid w:val="00C939D6"/>
    <w:rsid w:val="00CC6526"/>
    <w:rsid w:val="00CD3302"/>
    <w:rsid w:val="00D15668"/>
    <w:rsid w:val="00D61838"/>
    <w:rsid w:val="00D80CC4"/>
    <w:rsid w:val="00D967F1"/>
    <w:rsid w:val="00D96BBE"/>
    <w:rsid w:val="00DB56B8"/>
    <w:rsid w:val="00E128BF"/>
    <w:rsid w:val="00E82DB5"/>
    <w:rsid w:val="00E94C8C"/>
    <w:rsid w:val="00EA157D"/>
    <w:rsid w:val="00EA2F9B"/>
    <w:rsid w:val="00EB681F"/>
    <w:rsid w:val="00EF2F9A"/>
    <w:rsid w:val="00EF6EB8"/>
    <w:rsid w:val="00F34AE3"/>
    <w:rsid w:val="00F51026"/>
    <w:rsid w:val="00F62620"/>
    <w:rsid w:val="00F74F56"/>
    <w:rsid w:val="00F75C1F"/>
    <w:rsid w:val="00F77122"/>
    <w:rsid w:val="00F818D5"/>
    <w:rsid w:val="00F82AED"/>
    <w:rsid w:val="00F91797"/>
    <w:rsid w:val="00FB0AC8"/>
    <w:rsid w:val="00FB4530"/>
    <w:rsid w:val="00FC3DAE"/>
    <w:rsid w:val="00FC73C2"/>
    <w:rsid w:val="00FD0039"/>
    <w:rsid w:val="00FD7D32"/>
    <w:rsid w:val="00FE04C8"/>
    <w:rsid w:val="00FF5305"/>
    <w:rsid w:val="00FF68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92EDE0"/>
  <w15:chartTrackingRefBased/>
  <w15:docId w15:val="{9DF6D7B3-0A8B-423C-9926-CEA764C65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0CDD"/>
    <w:pPr>
      <w:spacing w:line="480" w:lineRule="auto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5F0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0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0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0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0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0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0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0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0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0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0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0C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0C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0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0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0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0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0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0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0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0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0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0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0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0C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0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0C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0CD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2F9B"/>
    <w:rPr>
      <w:rFonts w:ascii="Times New Roman" w:hAnsi="Times New Roman"/>
    </w:rPr>
  </w:style>
  <w:style w:type="paragraph" w:styleId="Footer">
    <w:name w:val="footer"/>
    <w:basedOn w:val="Normal"/>
    <w:link w:val="FooterChar"/>
    <w:uiPriority w:val="99"/>
    <w:unhideWhenUsed/>
    <w:rsid w:val="00EA2F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2F9B"/>
    <w:rPr>
      <w:rFonts w:ascii="Times New Roman" w:hAnsi="Times New Roman"/>
    </w:rPr>
  </w:style>
  <w:style w:type="paragraph" w:styleId="Bibliography">
    <w:name w:val="Bibliography"/>
    <w:basedOn w:val="Normal"/>
    <w:next w:val="Normal"/>
    <w:uiPriority w:val="37"/>
    <w:unhideWhenUsed/>
    <w:rsid w:val="002065D3"/>
  </w:style>
  <w:style w:type="paragraph" w:styleId="TOCHeading">
    <w:name w:val="TOC Heading"/>
    <w:basedOn w:val="Heading1"/>
    <w:next w:val="Normal"/>
    <w:uiPriority w:val="39"/>
    <w:unhideWhenUsed/>
    <w:qFormat/>
    <w:rsid w:val="00635C9A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35C9A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635C9A"/>
    <w:rPr>
      <w:color w:val="467886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A07B67"/>
    <w:pPr>
      <w:spacing w:after="100"/>
      <w:ind w:left="240"/>
    </w:pPr>
  </w:style>
  <w:style w:type="paragraph" w:styleId="Caption">
    <w:name w:val="caption"/>
    <w:basedOn w:val="Normal"/>
    <w:next w:val="Normal"/>
    <w:uiPriority w:val="35"/>
    <w:unhideWhenUsed/>
    <w:qFormat/>
    <w:rsid w:val="007323BD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7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0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3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4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74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55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7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4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7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92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546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88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00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8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95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02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26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0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55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02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1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53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87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8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38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7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8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7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5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32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9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FTCnd</b:Tag>
    <b:SourceType>InternetSite</b:SourceType>
    <b:Guid>{55A2394F-937A-4435-9876-6152E08F1D52}</b:Guid>
    <b:Author>
      <b:Author>
        <b:Corporate>FTC</b:Corporate>
      </b:Author>
    </b:Author>
    <b:Title>Gramm-Leach-Bliley Act</b:Title>
    <b:Year>n.d.</b:Year>
    <b:URL>https://www.ftc.gov/business-guidance/privacy-security/gramm-leach-bliley-act</b:URL>
    <b:RefOrder>5</b:RefOrder>
  </b:Source>
  <b:Source>
    <b:Tag>NIS03</b:Tag>
    <b:SourceType>JournalArticle</b:SourceType>
    <b:Guid>{7F0D6060-83B4-4557-BB62-F9EAD1BFE00A}</b:Guid>
    <b:Author>
      <b:Author>
        <b:Corporate>NIST</b:Corporate>
      </b:Author>
    </b:Author>
    <b:Title>Building an Information Technology Security Awareness and Training Program</b:Title>
    <b:JournalName>National Institute of Standards and Technology SP 800-50</b:JournalName>
    <b:Year>2003</b:Year>
    <b:URL>https://nvlpubs.nist.gov/nistpubs/legacy/sp/nistspecialpublication800-50.pdf</b:URL>
    <b:RefOrder>1</b:RefOrder>
  </b:Source>
  <b:Source>
    <b:Tag>NIS08</b:Tag>
    <b:SourceType>JournalArticle</b:SourceType>
    <b:Guid>{622A006C-2625-4AD1-8039-55A5B3CE6BDE}</b:Guid>
    <b:Title>Technical Guide to Information Security Testing and Assessment</b:Title>
    <b:JournalName>National Institute of Standards and Technology SP 800-115</b:JournalName>
    <b:Year>2008</b:Year>
    <b:Author>
      <b:Author>
        <b:Corporate>NIST</b:Corporate>
      </b:Author>
    </b:Author>
    <b:URL>https://nvlpubs.nist.gov/nistpubs/Legacy/SP/nistspecialpublication800-115.pdf</b:URL>
    <b:RefOrder>4</b:RefOrder>
  </b:Source>
  <b:Source>
    <b:Tag>NIS17</b:Tag>
    <b:SourceType>JournalArticle</b:SourceType>
    <b:Guid>{5EA9E79C-7238-4DC4-850B-D01C6B22D6CF}</b:Guid>
    <b:Title>An introduction to information security</b:Title>
    <b:JournalName>National Institute of Standards and Technology SO 800-12 Rev. 1</b:JournalName>
    <b:Year>2017</b:Year>
    <b:Author>
      <b:Author>
        <b:Corporate>NIST</b:Corporate>
      </b:Author>
    </b:Author>
    <b:URL>https://nvlpubs.nist.gov/nistpubs/SpecialPublications/NIST.SP.800-12r1.pdf</b:URL>
    <b:RefOrder>3</b:RefOrder>
  </b:Source>
  <b:Source>
    <b:Tag>Nat20</b:Tag>
    <b:SourceType>JournalArticle</b:SourceType>
    <b:Guid>{633491CF-ECE3-474E-97AF-BAF865E07D87}</b:Guid>
    <b:Title>Security and Privacy Controls for Information Systems and Organizations</b:Title>
    <b:Year>2020</b:Year>
    <b:Author>
      <b:Author>
        <b:Corporate>NIST</b:Corporate>
      </b:Author>
    </b:Author>
    <b:JournalName>National Institute of Standards and Technology SP 800-53 Rev. 5</b:JournalName>
    <b:Publisher>U.S. Department of Commerce</b:Publisher>
    <b:URL>https://nvlpubs.nist.gov/nistpubs/SpecialPublications/NIST.SP.800-53r5.pdf</b:URL>
    <b:RefOrder>2</b:RefOrder>
  </b:Source>
  <b:Source>
    <b:Tag>NIS25</b:Tag>
    <b:SourceType>InternetSite</b:SourceType>
    <b:Guid>{A9079CCA-574F-484F-A291-B605C3E9C2BA}</b:Guid>
    <b:Author>
      <b:Author>
        <b:Corporate>NIST</b:Corporate>
      </b:Author>
    </b:Author>
    <b:Title>Incident response recommendations and considerations for cybersecurity risk management (SP 800-61 Rev. 3)</b:Title>
    <b:InternetSiteTitle>National Institute of Standards and Technology</b:InternetSiteTitle>
    <b:Year>2025</b:Year>
    <b:URL>https://nvlpubs.nist.gov/nistpubs/SpecialPublications/NIST.SP.800-61r3.pdf</b:URL>
    <b:RefOrder>6</b:RefOrder>
  </b:Source>
  <b:Source>
    <b:Tag>NIS14</b:Tag>
    <b:SourceType>InternetSite</b:SourceType>
    <b:Guid>{467F22D8-0FC2-417F-83D4-4C7E6780A639}</b:Guid>
    <b:Author>
      <b:Author>
        <b:Corporate>NIST</b:Corporate>
      </b:Author>
    </b:Author>
    <b:Title>Guidelines for media sanitization</b:Title>
    <b:InternetSiteTitle>National Institute of Standards and Technology</b:InternetSiteTitle>
    <b:Year>2014</b:Year>
    <b:URL>https://nvlpubs.nist.gov/nistpubs/SpecialPublications/NIST.SP.800-88r1.pdf</b:URL>
    <b:RefOrder>7</b:RefOrder>
  </b:Source>
</b:Sources>
</file>

<file path=customXml/itemProps1.xml><?xml version="1.0" encoding="utf-8"?>
<ds:datastoreItem xmlns:ds="http://schemas.openxmlformats.org/officeDocument/2006/customXml" ds:itemID="{CDAF0B09-8358-441C-BCAF-4D3F7A4558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Merry</dc:creator>
  <cp:keywords/>
  <dc:description/>
  <cp:lastModifiedBy>Blake Merry</cp:lastModifiedBy>
  <cp:revision>8</cp:revision>
  <dcterms:created xsi:type="dcterms:W3CDTF">2026-03-13T23:05:00Z</dcterms:created>
  <dcterms:modified xsi:type="dcterms:W3CDTF">2026-03-26T04:52:00Z</dcterms:modified>
</cp:coreProperties>
</file>