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theme/theme1.xml" ContentType="application/vnd.openxmlformats-officedocument.them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r>
    </w:p>
    <w:p>
      <w:pPr>
        <w:pStyle w:val="Normal"/>
        <w:jc w:val="center"/>
        <w:rPr>
          <w:b/>
          <w:bCs/>
        </w:rPr>
      </w:pPr>
      <w:r>
        <w:rPr>
          <w:b/>
          <w:bCs/>
        </w:rPr>
        <w:t>4-4</w:t>
      </w:r>
      <w:r>
        <w:rPr>
          <w:b/>
          <w:bCs/>
        </w:rPr>
        <w:t xml:space="preserve"> </w:t>
      </w:r>
      <w:r>
        <w:rPr>
          <w:b/>
          <w:bCs/>
        </w:rPr>
        <w:t>Journal</w:t>
      </w:r>
      <w:r>
        <w:rPr>
          <w:b/>
          <w:bCs/>
        </w:rPr>
        <w:t>: Software Application Requirements</w:t>
      </w:r>
    </w:p>
    <w:p>
      <w:pPr>
        <w:pStyle w:val="Normal"/>
        <w:jc w:val="center"/>
        <w:rPr/>
      </w:pPr>
      <w:r>
        <w:rPr/>
      </w:r>
    </w:p>
    <w:p>
      <w:pPr>
        <w:pStyle w:val="Normal"/>
        <w:jc w:val="center"/>
        <w:rPr/>
      </w:pPr>
      <w:r>
        <w:rPr/>
        <w:t>Blake Merry</w:t>
      </w:r>
    </w:p>
    <w:p>
      <w:pPr>
        <w:pStyle w:val="Normal"/>
        <w:jc w:val="center"/>
        <w:rPr/>
      </w:pPr>
      <w:r>
        <w:rPr/>
        <w:t>Southern New Hampshire University</w:t>
      </w:r>
    </w:p>
    <w:p>
      <w:pPr>
        <w:pStyle w:val="Normal"/>
        <w:jc w:val="center"/>
        <w:rPr/>
      </w:pPr>
      <w:r>
        <w:rPr/>
        <w:t>CS-230 Operating Platforms</w:t>
      </w:r>
    </w:p>
    <w:p>
      <w:pPr>
        <w:pStyle w:val="Normal"/>
        <w:jc w:val="center"/>
        <w:rPr/>
      </w:pPr>
      <w:r>
        <w:rPr/>
        <w:t>Prof. David McCullough</w:t>
      </w:r>
    </w:p>
    <w:p>
      <w:pPr>
        <w:pStyle w:val="Normal"/>
        <w:spacing w:before="0" w:after="160"/>
        <w:jc w:val="center"/>
        <w:rPr/>
        <w:sectPr>
          <w:headerReference w:type="even" r:id="rId2"/>
          <w:headerReference w:type="default" r:id="rId3"/>
          <w:headerReference w:type="first" r:id="rId4"/>
          <w:type w:val="nextPage"/>
          <w:pgSz w:w="12240" w:h="15840"/>
          <w:pgMar w:left="1440" w:right="1440" w:gutter="0" w:header="720" w:top="1440" w:footer="0" w:bottom="1440"/>
          <w:pgNumType w:fmt="decimal"/>
          <w:formProt w:val="false"/>
          <w:vAlign w:val="center"/>
          <w:textDirection w:val="lrTb"/>
          <w:docGrid w:type="default" w:linePitch="360" w:charSpace="0"/>
        </w:sectPr>
      </w:pPr>
      <w:r>
        <w:rPr/>
        <w:t xml:space="preserve">July </w:t>
      </w:r>
      <w:r>
        <w:rPr/>
        <w:t>26</w:t>
      </w:r>
      <w:r>
        <w:rPr/>
        <w:t>, 2026</w:t>
      </w:r>
      <w:r>
        <w:br w:type="page"/>
      </w:r>
    </w:p>
    <w:p>
      <w:pPr>
        <w:pStyle w:val="BodyText"/>
        <w:spacing w:before="0" w:after="140"/>
        <w:rPr/>
      </w:pPr>
      <w:r>
        <w:rPr/>
        <w:t>This week's assignment helped me better understand why the client-server architectural pattern is so common for modern applications. Separating the client from the server allows each side to focus on its own responsibilities while communicating through a well-defined interface. For The Gaming Room, this makes it possible to support multiple operating platforms without rewriting the core game logic for each one. The server is responsible for managing the application data and business rules, while each client only needs to send requests and display the results. That separation also makes the application easier to maintain because improvements to the server can often be made without changing every client. From my perspective, this is a much more scalable approach than trying to build separate versions of the entire application for each platform.</w:t>
      </w:r>
    </w:p>
    <w:p>
      <w:pPr>
        <w:pStyle w:val="BodyText"/>
        <w:spacing w:before="0" w:after="140"/>
        <w:rPr/>
      </w:pPr>
      <w:r>
        <w:rPr/>
        <w:t>Working on the server side gave me a better appreciation for how REST APIs simplify communication between different systems. Rather than having each client communicate with the application's internal classes directly, the REST API provides a consistent set of endpoints that clients can use regardless of the operating system they are running on. During this assignment I implemented Basic Authentication, an authenticator, an authorizer, and role-based annotations to protect different API endpoints. Although Basic Authentication would not be the best choice for a production application, it demonstrated how authentication and authorization can be integrated into the application while relying on the operating system and web server to handle HTTP communication. I also liked seeing how annotations such as @GET, @POST, and @RolesAllowed clearly communicate both the purpose of an endpoint and who is allowed to access it. The assignment also reminded me of a previous course where I developed applications using ASP.NET. Many of the API calls and request handling patterns felt familiar, even though the implementation was in Java with Dropwizard instead of C#. It was interesting to see how similar architectural ideas carry across different programming languages and frameworks.</w:t>
      </w:r>
    </w:p>
    <w:p>
      <w:pPr>
        <w:pStyle w:val="BodyText"/>
        <w:spacing w:before="0" w:after="140"/>
        <w:rPr/>
      </w:pPr>
      <w:r>
        <w:rPr/>
        <w:t>One new technology for me in this assignment was Maven. Before this course I hadn't used a build automation tool like it, so there was a bit of a learning curve getting the project configured and built. Once I became familiar with it, though, I could see why it's so widely used. Maven handled downloading project dependencies, building the application, and packaging everything into a runnable JAR with very little manual work. That allowed me to spend more time focusing on the application itself instead of managing libraries by hand.</w:t>
      </w:r>
    </w:p>
    <w:p>
      <w:pPr>
        <w:pStyle w:val="BodyText"/>
        <w:spacing w:before="0" w:after="140"/>
        <w:rPr/>
      </w:pPr>
      <w:r>
        <w:rPr/>
        <w:t>From the client side, the biggest advantage of using a REST API is that each client only needs to understand how to communicate with the server over HTTP. Whether The Gaming Room develops a web client, a desktop application, or a mobile application, each one can use the same API without duplicating the server's logic. If the application grows, adding more users would likely involve replacing the in-memory database used in this prototype with a relational database and implementing additional endpoints to manage user accounts. I could also see features such as player statistics, game history, matchmaking, or administrative tools being added over time. If the client later wanted to support platforms such as Xbox or PlayStation, the server would likely require very few changes because the REST API would remain the same. Most of the additional work would be developing platform-specific clients that authenticate users, send requests to the existing endpoints, and present the information using each platform's interface guidelines.</w:t>
      </w:r>
    </w:p>
    <w:p>
      <w:pPr>
        <w:pStyle w:val="BodyText"/>
        <w:spacing w:before="0" w:after="140"/>
        <w:rPr/>
      </w:pPr>
      <w:r>
        <w:rPr/>
        <w:t>One area that wasn't entirely new to me was the distinction between authentication and authorization. I covered those concepts while earning my associate degree in Cybersecurity, so implementing them in code reinforced ideas I had already learned from a security perspective. Instead of only discussing the concepts in theory, I was able to see how authentication establishes a user's identity while authorization determines what that user is allowed to do within the application. That practical experience helped connect software development with the security principles I've studied previously. Overall, this assignment gave me a better appreciation for how modern web applications are structured and how the different pieces work together to create a scalable and secure application.</w:t>
      </w:r>
    </w:p>
    <w:sectPr>
      <w:headerReference w:type="even" r:id="rId5"/>
      <w:headerReference w:type="default" r:id="rId6"/>
      <w:headerReference w:type="first" r:id="rId7"/>
      <w:type w:val="nextPage"/>
      <w:pgSz w:w="12240" w:h="15840"/>
      <w:pgMar w:left="1440" w:right="1440" w:gutter="0" w:header="72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Times New Roman">
    <w:charset w:val="01" w:characterSet="utf-8"/>
    <w:family w:val="roman"/>
    <w:pitch w:val="variable"/>
  </w:font>
  <w:font w:name="Aptos Display">
    <w:charset w:val="01" w:characterSet="utf-8"/>
    <w:family w:val="roman"/>
    <w:pitch w:val="variable"/>
  </w:font>
  <w:font w:name="Liberation Sans">
    <w:altName w:val="Arial"/>
    <w:charset w:val="01" w:characterSet="utf-8"/>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1</w:t>
        </w:r>
        <w:r>
          <w:rPr/>
          <w:fldChar w:fldCharType="end"/>
        </w:r>
      </w:p>
    </w:sdtContent>
  </w:sdt>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id w:val="751621894"/>
      <w:docPartObj>
        <w:docPartGallery w:val="Page Numbers (Top of Page)"/>
        <w:docPartUnique w:val="true"/>
      </w:docPartObj>
    </w:sdtPr>
    <w:sdtContent>
      <w:p>
        <w:pPr>
          <w:pStyle w:val="Header"/>
          <w:jc w:val="end"/>
          <w:rPr/>
        </w:pPr>
        <w:r>
          <w:rPr/>
          <w:fldChar w:fldCharType="begin"/>
        </w:r>
        <w:r>
          <w:rPr/>
          <w:instrText xml:space="preserve"> PAGE </w:instrText>
        </w:r>
        <w:r>
          <w:rPr/>
          <w:fldChar w:fldCharType="separate"/>
        </w:r>
        <w:r>
          <w:rPr/>
          <w:t>4</w:t>
        </w:r>
        <w:r>
          <w:rPr/>
          <w:fldChar w:fldCharType="end"/>
        </w:r>
      </w:p>
    </w:sdtContent>
  </w:sdt>
  <w:p>
    <w:pPr>
      <w:pStyle w:val="Header"/>
      <w:rPr/>
    </w:pPr>
    <w:r>
      <w:rPr/>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f0cdd"/>
    <w:pPr>
      <w:widowControl/>
      <w:suppressAutoHyphens w:val="true"/>
      <w:bidi w:val="0"/>
      <w:spacing w:lineRule="auto" w:line="480" w:before="0" w:after="160"/>
      <w:jc w:val="start"/>
    </w:pPr>
    <w:rPr>
      <w:rFonts w:ascii="Times New Roman" w:hAnsi="Times New Roman" w:eastAsia="Aptos" w:cs="" w:cstheme="minorBidi" w:eastAsia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5f0cdd"/>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unhideWhenUsed/>
    <w:qFormat/>
    <w:rsid w:val="005f0cdd"/>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5f0cdd"/>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5f0cdd"/>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5f0cdd"/>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5f0cdd"/>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5f0cdd"/>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5f0cdd"/>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5f0cdd"/>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5f0cdd"/>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qFormat/>
    <w:rsid w:val="005f0cdd"/>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5f0cdd"/>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5f0cdd"/>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5f0cdd"/>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5f0cdd"/>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5f0cdd"/>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5f0cdd"/>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5f0cdd"/>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5f0cdd"/>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5f0cdd"/>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5f0cdd"/>
    <w:rPr>
      <w:i/>
      <w:iCs/>
      <w:color w:themeColor="text1" w:themeTint="bf" w:val="404040"/>
    </w:rPr>
  </w:style>
  <w:style w:type="character" w:styleId="IntenseEmphasis">
    <w:name w:val="Intense Emphasis"/>
    <w:basedOn w:val="DefaultParagraphFont"/>
    <w:uiPriority w:val="21"/>
    <w:qFormat/>
    <w:rsid w:val="005f0cdd"/>
    <w:rPr>
      <w:i/>
      <w:iCs/>
      <w:color w:themeColor="accent1" w:themeShade="bf" w:val="0F4761"/>
    </w:rPr>
  </w:style>
  <w:style w:type="character" w:styleId="IntenseQuoteChar" w:customStyle="1">
    <w:name w:val="Intense Quote Char"/>
    <w:basedOn w:val="DefaultParagraphFont"/>
    <w:link w:val="IntenseQuote"/>
    <w:uiPriority w:val="30"/>
    <w:qFormat/>
    <w:rsid w:val="005f0cdd"/>
    <w:rPr>
      <w:i/>
      <w:iCs/>
      <w:color w:themeColor="accent1" w:themeShade="bf" w:val="0F4761"/>
    </w:rPr>
  </w:style>
  <w:style w:type="character" w:styleId="IntenseReference">
    <w:name w:val="Intense Reference"/>
    <w:basedOn w:val="DefaultParagraphFont"/>
    <w:uiPriority w:val="32"/>
    <w:qFormat/>
    <w:rsid w:val="005f0cdd"/>
    <w:rPr>
      <w:b/>
      <w:bCs/>
      <w:smallCaps/>
      <w:color w:themeColor="accent1" w:themeShade="bf" w:val="0F4761"/>
      <w:spacing w:val="5"/>
    </w:rPr>
  </w:style>
  <w:style w:type="character" w:styleId="HeaderChar" w:customStyle="1">
    <w:name w:val="Header Char"/>
    <w:basedOn w:val="DefaultParagraphFont"/>
    <w:link w:val="Header"/>
    <w:uiPriority w:val="99"/>
    <w:qFormat/>
    <w:rsid w:val="00ea2f9b"/>
    <w:rPr>
      <w:rFonts w:ascii="Times New Roman" w:hAnsi="Times New Roman"/>
    </w:rPr>
  </w:style>
  <w:style w:type="character" w:styleId="FooterChar" w:customStyle="1">
    <w:name w:val="Footer Char"/>
    <w:basedOn w:val="DefaultParagraphFont"/>
    <w:link w:val="Footer"/>
    <w:uiPriority w:val="99"/>
    <w:qFormat/>
    <w:rsid w:val="00ea2f9b"/>
    <w:rPr>
      <w:rFonts w:ascii="Times New Roman" w:hAnsi="Times New Roman"/>
    </w:rPr>
  </w:style>
  <w:style w:type="character" w:styleId="Hyperlink">
    <w:name w:val="Hyperlink"/>
    <w:basedOn w:val="DefaultParagraphFont"/>
    <w:uiPriority w:val="99"/>
    <w:unhideWhenUsed/>
    <w:rsid w:val="00635c9a"/>
    <w:rPr>
      <w:color w:themeColor="hyperlink"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480" w:before="0" w:after="140"/>
      <w:ind w:firstLine="72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rsid w:val="007323bd"/>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5f0cdd"/>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5f0cdd"/>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5f0cdd"/>
    <w:pPr>
      <w:spacing w:before="160" w:after="160"/>
      <w:jc w:val="center"/>
    </w:pPr>
    <w:rPr>
      <w:i/>
      <w:iCs/>
      <w:color w:themeColor="text1" w:themeTint="bf" w:val="404040"/>
    </w:rPr>
  </w:style>
  <w:style w:type="paragraph" w:styleId="ListParagraph">
    <w:name w:val="List Paragraph"/>
    <w:basedOn w:val="Normal"/>
    <w:uiPriority w:val="34"/>
    <w:qFormat/>
    <w:rsid w:val="005f0cdd"/>
    <w:pPr>
      <w:spacing w:before="0" w:after="160"/>
      <w:ind w:start="720"/>
      <w:contextualSpacing/>
    </w:pPr>
    <w:rPr/>
  </w:style>
  <w:style w:type="paragraph" w:styleId="IntenseQuote">
    <w:name w:val="Intense Quote"/>
    <w:basedOn w:val="Normal"/>
    <w:next w:val="Normal"/>
    <w:link w:val="IntenseQuoteChar"/>
    <w:uiPriority w:val="30"/>
    <w:qFormat/>
    <w:rsid w:val="005f0cdd"/>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rsid w:val="00ea2f9b"/>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a2f9b"/>
    <w:pPr>
      <w:tabs>
        <w:tab w:val="clear" w:pos="720"/>
        <w:tab w:val="center" w:pos="4680" w:leader="none"/>
        <w:tab w:val="right" w:pos="9360" w:leader="none"/>
      </w:tabs>
      <w:spacing w:lineRule="auto" w:line="240" w:before="0" w:after="0"/>
    </w:pPr>
    <w:rPr/>
  </w:style>
  <w:style w:type="paragraph" w:styleId="Bibliography">
    <w:name w:val="Bibliography"/>
    <w:basedOn w:val="Normal"/>
    <w:next w:val="Normal"/>
    <w:uiPriority w:val="37"/>
    <w:unhideWhenUsed/>
    <w:qFormat/>
    <w:rsid w:val="002065d3"/>
    <w:pPr/>
    <w:rPr/>
  </w:style>
  <w:style w:type="paragraph" w:styleId="IndexHeading">
    <w:name w:val="index heading"/>
    <w:basedOn w:val="Heading"/>
    <w:pPr/>
    <w:rPr/>
  </w:style>
  <w:style w:type="paragraph" w:styleId="TOCHeading">
    <w:name w:val="TOC Heading"/>
    <w:basedOn w:val="Heading1"/>
    <w:next w:val="Normal"/>
    <w:uiPriority w:val="39"/>
    <w:unhideWhenUsed/>
    <w:qFormat/>
    <w:rsid w:val="00635c9a"/>
    <w:pPr>
      <w:spacing w:lineRule="auto" w:line="259" w:before="240" w:after="0"/>
      <w:outlineLvl w:val="9"/>
    </w:pPr>
    <w:rPr>
      <w:kern w:val="0"/>
      <w:sz w:val="32"/>
      <w:szCs w:val="32"/>
      <w14:ligatures w14:val="none"/>
    </w:rPr>
  </w:style>
  <w:style w:type="paragraph" w:styleId="TOC1">
    <w:name w:val="toc 1"/>
    <w:basedOn w:val="Normal"/>
    <w:next w:val="Normal"/>
    <w:autoRedefine/>
    <w:uiPriority w:val="39"/>
    <w:unhideWhenUsed/>
    <w:rsid w:val="00635c9a"/>
    <w:pPr>
      <w:spacing w:before="0" w:after="100"/>
    </w:pPr>
    <w:rPr/>
  </w:style>
  <w:style w:type="paragraph" w:styleId="TOC2">
    <w:name w:val="toc 2"/>
    <w:basedOn w:val="Normal"/>
    <w:next w:val="Normal"/>
    <w:autoRedefine/>
    <w:uiPriority w:val="39"/>
    <w:unhideWhenUsed/>
    <w:rsid w:val="00a07b67"/>
    <w:pPr>
      <w:spacing w:before="0" w:after="100"/>
      <w:ind w:start="24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header" Target="header4.xml"/><Relationship Id="rId6" Type="http://schemas.openxmlformats.org/officeDocument/2006/relationships/header" Target="header5.xml"/><Relationship Id="rId7" Type="http://schemas.openxmlformats.org/officeDocument/2006/relationships/header" Target="header6.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FTCnd</b:Tag>
    <b:SourceType>InternetSite</b:SourceType>
    <b:Guid>{55A2394F-937A-4435-9876-6152E08F1D52}</b:Guid>
    <b:Author>
      <b:Author>
        <b:Corporate>FTC</b:Corporate>
      </b:Author>
    </b:Author>
    <b:Title>Gramm-Leach-Bliley Act</b:Title>
    <b:Year>n.d.</b:Year>
    <b:URL>https://www.ftc.gov/business-guidance/privacy-security/gramm-leach-bliley-act</b:URL>
    <b:RefOrder>5</b:RefOrder>
  </b:Source>
  <b:Source>
    <b:Tag>NIS03</b:Tag>
    <b:SourceType>JournalArticle</b:SourceType>
    <b:Guid>{7F0D6060-83B4-4557-BB62-F9EAD1BFE00A}</b:Guid>
    <b:Author>
      <b:Author>
        <b:Corporate>NIST</b:Corporate>
      </b:Author>
    </b:Author>
    <b:Title>Building an Information Technology Security Awareness and Training Program</b:Title>
    <b:JournalName>National Institute of Standards and Technology SP 800-50</b:JournalName>
    <b:Year>2003</b:Year>
    <b:URL>https://nvlpubs.nist.gov/nistpubs/legacy/sp/nistspecialpublication800-50.pdf</b:URL>
    <b:RefOrder>1</b:RefOrder>
  </b:Source>
  <b:Source>
    <b:Tag>NIS08</b:Tag>
    <b:SourceType>JournalArticle</b:SourceType>
    <b:Guid>{622A006C-2625-4AD1-8039-55A5B3CE6BDE}</b:Guid>
    <b:Title>Technical Guide to Information Security Testing and Assessment</b:Title>
    <b:JournalName>National Institute of Standards and Technology SP 800-115</b:JournalName>
    <b:Year>2008</b:Year>
    <b:Author>
      <b:Author>
        <b:Corporate>NIST</b:Corporate>
      </b:Author>
    </b:Author>
    <b:URL>https://nvlpubs.nist.gov/nistpubs/Legacy/SP/nistspecialpublication800-115.pdf</b:URL>
    <b:RefOrder>4</b:RefOrder>
  </b:Source>
  <b:Source>
    <b:Tag>NIS17</b:Tag>
    <b:SourceType>JournalArticle</b:SourceType>
    <b:Guid>{5EA9E79C-7238-4DC4-850B-D01C6B22D6CF}</b:Guid>
    <b:Title>An introduction to information security</b:Title>
    <b:JournalName>National Institute of Standards and Technology SO 800-12 Rev. 1</b:JournalName>
    <b:Year>2017</b:Year>
    <b:Author>
      <b:Author>
        <b:Corporate>NIST</b:Corporate>
      </b:Author>
    </b:Author>
    <b:URL>https://nvlpubs.nist.gov/nistpubs/SpecialPublications/NIST.SP.800-12r1.pdf</b:URL>
    <b:RefOrder>3</b:RefOrder>
  </b:Source>
  <b:Source>
    <b:Tag>Nat20</b:Tag>
    <b:SourceType>JournalArticle</b:SourceType>
    <b:Guid>{633491CF-ECE3-474E-97AF-BAF865E07D87}</b:Guid>
    <b:Title>Security and Privacy Controls for Information Systems and Organizations</b:Title>
    <b:Year>2020</b:Year>
    <b:Author>
      <b:Author>
        <b:Corporate>NIST</b:Corporate>
      </b:Author>
    </b:Author>
    <b:JournalName>National Institute of Standards and Technology SP 800-53 Rev. 5</b:JournalName>
    <b:Publisher>U.S. Department of Commerce</b:Publisher>
    <b:URL>https://nvlpubs.nist.gov/nistpubs/SpecialPublications/NIST.SP.800-53r5.pdf</b:URL>
    <b:RefOrder>2</b:RefOrder>
  </b:Source>
  <b:Source>
    <b:Tag>NIS25</b:Tag>
    <b:SourceType>InternetSite</b:SourceType>
    <b:Guid>{A9079CCA-574F-484F-A291-B605C3E9C2BA}</b:Guid>
    <b:Author>
      <b:Author>
        <b:Corporate>NIST</b:Corporate>
      </b:Author>
    </b:Author>
    <b:Title>Incident response recommendations and considerations for cybersecurity risk management (SP 800-61 Rev. 3)</b:Title>
    <b:InternetSiteTitle>National Institute of Standards and Technology</b:InternetSiteTitle>
    <b:Year>2025</b:Year>
    <b:URL>https://nvlpubs.nist.gov/nistpubs/SpecialPublications/NIST.SP.800-61r3.pdf</b:URL>
    <b:RefOrder>6</b:RefOrder>
  </b:Source>
  <b:Source>
    <b:Tag>NIS14</b:Tag>
    <b:SourceType>InternetSite</b:SourceType>
    <b:Guid>{467F22D8-0FC2-417F-83D4-4C7E6780A639}</b:Guid>
    <b:Author>
      <b:Author>
        <b:Corporate>NIST</b:Corporate>
      </b:Author>
    </b:Author>
    <b:Title>Guidelines for media sanitization</b:Title>
    <b:InternetSiteTitle>National Institute of Standards and Technology</b:InternetSiteTitle>
    <b:Year>2014</b:Year>
    <b:URL>https://nvlpubs.nist.gov/nistpubs/SpecialPublications/NIST.SP.800-88r1.pdf</b:URL>
    <b:RefOrder>7</b:RefOrder>
  </b:Source>
</b:Sources>
</file>

<file path=customXml/itemProps1.xml><?xml version="1.0" encoding="utf-8"?>
<ds:datastoreItem xmlns:ds="http://schemas.openxmlformats.org/officeDocument/2006/customXml" ds:itemID="{CDAF0B09-8358-441C-BCAF-4D3F7A4558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Application>LibreOffice/26.2.5.2$Linux_X86_64 LibreOffice_project/620$Build-2</Application>
  <AppVersion>15.0000</AppVersion>
  <Pages>4</Pages>
  <Words>712</Words>
  <Characters>3958</Characters>
  <CharactersWithSpaces>4655</CharactersWithSpaces>
  <Paragraphs>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2026-03-13T23:05:00Z</dcterms:created>
  <dc:creator>Blake Merry</dc:creator>
  <dc:description/>
  <dc:language>en-US</dc:language>
  <cp:lastModifiedBy/>
  <dcterms:modified xsi:type="dcterms:W3CDTF">2026-07-31T22:29:30Z</dcterms:modified>
  <cp:revision>69</cp:revision>
  <dc:subject/>
  <dc:title/>
</cp:coreProperties>
</file>

<file path=docProps/custom.xml><?xml version="1.0" encoding="utf-8"?>
<Properties xmlns="http://schemas.openxmlformats.org/officeDocument/2006/custom-properties" xmlns:vt="http://schemas.openxmlformats.org/officeDocument/2006/docPropsVTypes"/>
</file>