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3-2</w:t>
      </w:r>
      <w:r>
        <w:rPr>
          <w:b/>
          <w:bCs/>
        </w:rPr>
        <w:t xml:space="preserve"> Activity: Information Security Policy Review</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IT-253 Computer Systems Security</w:t>
      </w:r>
    </w:p>
    <w:p>
      <w:pPr>
        <w:pStyle w:val="Normal"/>
        <w:jc w:val="center"/>
        <w:rPr/>
      </w:pPr>
      <w:r>
        <w:rPr/>
        <w:t>Dr. Robert Rupocinski</w:t>
      </w:r>
    </w:p>
    <w:p>
      <w:pPr>
        <w:pStyle w:val="Normal"/>
        <w:spacing w:before="0" w:after="160"/>
        <w:jc w:val="center"/>
        <w:rPr/>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pPr>
      <w:r>
        <w:rPr/>
        <w:t>July 1</w:t>
      </w:r>
      <w:r>
        <w:rPr/>
        <w:t>9</w:t>
      </w:r>
      <w:r>
        <w:rPr/>
        <w:t>, 2026</w:t>
      </w:r>
      <w:r>
        <w:br w:type="page"/>
      </w:r>
    </w:p>
    <w:p>
      <w:pPr>
        <w:pStyle w:val="BodyText"/>
        <w:rPr/>
      </w:pPr>
      <w:r>
        <w:rPr/>
        <w:t>For this activity, I chose the Fairfax County Information Technology Security Policy. This policy establishes the minimum requirements for protecting the County’s information, systems, devices, and communications infrastructure. It addresses management, operational, and technical controls, including risk assessment, access control, incident response, employee training, and acceptable use. It also defines specific security roles and responsibilities throughout the County government. This makes it a good example of the overarching information security policy discusse</w:t>
      </w:r>
      <w:r>
        <w:rPr/>
        <w:t>d</w:t>
      </w:r>
      <w:r>
        <w:rPr/>
        <w:t xml:space="preserve"> in this module because it provides a common foundation while allowing individual agencies to develop more specific policies based on their own systems and business needs (Fairfax County Government, 2022).</w:t>
      </w:r>
    </w:p>
    <w:p>
      <w:pPr>
        <w:pStyle w:val="Heading2"/>
        <w:rPr/>
      </w:pPr>
      <w:r>
        <w:rPr/>
        <w:t>What laws or regulations may have influenced this policy?</w:t>
      </w:r>
    </w:p>
    <w:p>
      <w:pPr>
        <w:pStyle w:val="BodyText"/>
        <w:rPr/>
      </w:pPr>
      <w:r>
        <w:rPr/>
        <w:t>Several federal and Virginia laws influenced the development of Fairfax County’s Information Technology Security Policy. The policy specifically identifies the Health Insurance Portability and Accountability Act (HIPAA), the Virginia Freedom of Information Act, the Virginia Government Data Collection and Dissemination Practices Act, and the Virginia Public Records Act as legal requirements considered during its development (Fairfax County Government, 2022). HIPAA requires County agencies that handle electronic protected health information to protect it against unauthorized access, disclosure, and other reasonably anticipated threats. Virginia’s data collection law similarly influences how the County protect</w:t>
      </w:r>
      <w:r>
        <w:rPr/>
        <w:t>s</w:t>
      </w:r>
      <w:r>
        <w:rPr/>
        <w:t xml:space="preserve"> personally identifiable information belonging to residents and employees. </w:t>
      </w:r>
      <w:r>
        <w:rPr/>
        <w:t>At the same time, the Virginia Freedom of Information Act requires the County to distinguish records that must be available to the public from confidential information that is exempt from disclosure. The Public Records Act and state retention schedules also affect how long electronic records must be kept and when they may be securely disposed of. These requirements help explain why the policy classifies information as Confidential, Sensitive, Internal Use, or Public Use and establishes different safeguards for each category.</w:t>
      </w:r>
    </w:p>
    <w:p>
      <w:pPr>
        <w:pStyle w:val="Heading2"/>
        <w:rPr/>
      </w:pPr>
      <w:r>
        <w:rPr/>
        <w:t>What audience was the policy specifically intended for?</w:t>
      </w:r>
    </w:p>
    <w:p>
      <w:pPr>
        <w:pStyle w:val="BodyText"/>
        <w:rPr/>
      </w:pPr>
      <w:r>
        <w:rPr/>
        <w:t>The policy is intended for anyone who accesses, manages, or supports Fairfax County information systems. This includes County agencies and employees as well as volunteers, contractors, vendors, service providers, and other organizations connected to the County’s technology environment (Fairfax County Government, 2022). The audience is broad because the County relies on many people and outside organizations to provide public services, and any of them could create security risks if they mishandle information or misuse a system. The policy also assigns more specific responsibilities to agency heads, data owners, system custodians, access-control administrators, and members of the Information Security Office. For example, system users must protect County information and report suspected violations, while data owners determine appropriate classifications and access requirements. This connects directly to the module’s discussion of information security management because an effective policy must define responsibilities at every level of an organization. Security can’t be maintained by technical controls alone; users must understand how their actions affect the organization’s overall security posture.</w:t>
      </w:r>
    </w:p>
    <w:p>
      <w:pPr>
        <w:pStyle w:val="Heading2"/>
        <w:rPr/>
      </w:pPr>
      <w:r>
        <w:rPr/>
        <w:t>What elements would I recommend to enhance the policy?</w:t>
      </w:r>
    </w:p>
    <w:p>
      <w:pPr>
        <w:pStyle w:val="BodyText"/>
        <w:rPr/>
      </w:pPr>
      <w:r>
        <w:rPr/>
        <w:t xml:space="preserve">The policy is comprehensive, but its length and technical detail might make it difficult for general users to understand which requirements apply directly to them. I would separate the document into </w:t>
      </w:r>
      <w:r>
        <w:rPr/>
        <w:t xml:space="preserve">a </w:t>
      </w:r>
      <w:r>
        <w:rPr/>
        <w:t>shorter overarching policy supported by role-specific SOPs. Employees could receive a concise acceptable-use and data-handling policy, while administrators and security personnel could refer to detailed technical requirements. This would preserve the policy’s content while tailoring it more effectively to its intended audiences, which Whitman and Mattord (2022) identify as an important part of security policy development. I would also add explicit guidance for generative AI and other emerging cloud services. The policy addresses cloud computing, mobile devices, social media, and Internet of Things (IoT) devices, but it doesn’t clearly explain whether employees may enter County information into generative AI systems. Requirements should identify approved services, prohibit uploading confidential or sensitive information without authorization, and explain how generated content must be reviewed. Adding this guidance would help the policy address a technology that has become much more common since its publication in 2022.</w:t>
      </w:r>
      <w:r>
        <w:br w:type="page"/>
      </w:r>
    </w:p>
    <w:p>
      <w:pPr>
        <w:pStyle w:val="Heading1"/>
        <w:rPr/>
      </w:pPr>
      <w:r>
        <w:rPr/>
        <w:t>References</w:t>
      </w:r>
    </w:p>
    <w:p>
      <w:pPr>
        <w:pStyle w:val="Bibliography"/>
        <w:rPr/>
      </w:pPr>
      <w:r>
        <w:rPr/>
        <w:t xml:space="preserve">Fairfax County Government. (2022). </w:t>
      </w:r>
      <w:r>
        <w:rPr>
          <w:i/>
          <w:iCs/>
        </w:rPr>
        <w:t>Fairfax County i</w:t>
      </w:r>
      <w:r>
        <w:rPr>
          <w:i/>
          <w:iCs/>
        </w:rPr>
        <w:t>nformation technology security policy</w:t>
      </w:r>
      <w:r>
        <w:rPr/>
        <w:t xml:space="preserve"> (CEX Procedural Memorandum 70-05; ISO Policy Publication 70-05.03 v1). </w:t>
      </w:r>
      <w:hyperlink r:id="rId3">
        <w:r>
          <w:rPr>
            <w:rStyle w:val="Hyperlink"/>
          </w:rPr>
          <w:t>https://www.fairfaxcounty.gov/informationtechnology/sites/informationtechnology/files/assets/security/pm70-05_03.pdf</w:t>
        </w:r>
      </w:hyperlink>
    </w:p>
    <w:p>
      <w:pPr>
        <w:pStyle w:val="Bibliography"/>
        <w:rPr/>
      </w:pPr>
      <w:r>
        <w:rPr/>
        <w:t xml:space="preserve">Whitman, M. E., &amp; Mattord, H. J. (2022). </w:t>
      </w:r>
      <w:r>
        <w:rPr>
          <w:i/>
          <w:iCs/>
        </w:rPr>
        <w:t>Principles of information security</w:t>
      </w:r>
      <w:r>
        <w:rPr/>
        <w:t xml:space="preserve"> (</w:t>
      </w:r>
      <w:r>
        <w:rPr/>
        <w:t xml:space="preserve">7th </w:t>
      </w:r>
      <w:r>
        <w:rPr/>
        <w:t>ed.). Cengage Learning.</w:t>
      </w:r>
    </w:p>
    <w:p>
      <w:pPr>
        <w:pStyle w:val="Normal"/>
        <w:spacing w:before="0" w:after="160"/>
        <w:rPr/>
      </w:pPr>
      <w:r>
        <w:rPr/>
      </w:r>
    </w:p>
    <w:sectPr>
      <w:headerReference w:type="default" r:id="rId4"/>
      <w:headerReference w:type="first" r:id="rId5"/>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160"/>
      <w:jc w:val="start"/>
    </w:pPr>
    <w:rPr>
      <w:rFonts w:ascii="Times New Roman" w:hAnsi="Times New Roman" w:eastAsia="Aptos" w:cs="Noto Sans Arabic"/>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Noto Sans Arabic"/>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Noto Sans Arabic"/>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Noto Sans Arabic"/>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Noto Sans Arabic"/>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Noto Sans Arabic"/>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w:color w:themeColor="accent1" w:themeShade="bf" w:val="0F4761"/>
      <w:sz w:val="32"/>
      <w:szCs w:val="32"/>
    </w:rPr>
  </w:style>
  <w:style w:type="character" w:styleId="Heading3Char">
    <w:name w:val="Heading 3 Char"/>
    <w:basedOn w:val="DefaultParagraphFont"/>
    <w:link w:val="Heading3"/>
    <w:qFormat/>
    <w:rPr>
      <w:rFonts w:eastAsia="Aptos" w:cs="Noto Sans Arabic"/>
      <w:color w:themeColor="accent1" w:themeShade="bf" w:val="0F4761"/>
      <w:sz w:val="28"/>
      <w:szCs w:val="28"/>
    </w:rPr>
  </w:style>
  <w:style w:type="character" w:styleId="Heading4Char">
    <w:name w:val="Heading 4 Char"/>
    <w:basedOn w:val="DefaultParagraphFont"/>
    <w:link w:val="Heading4"/>
    <w:qFormat/>
    <w:rPr>
      <w:rFonts w:eastAsia="Aptos" w:cs="Noto Sans Arabic"/>
      <w:i/>
      <w:iCs/>
      <w:color w:themeColor="accent1" w:themeShade="bf" w:val="0F4761"/>
    </w:rPr>
  </w:style>
  <w:style w:type="character" w:styleId="Heading5Char">
    <w:name w:val="Heading 5 Char"/>
    <w:basedOn w:val="DefaultParagraphFont"/>
    <w:link w:val="Heading5"/>
    <w:qFormat/>
    <w:rPr>
      <w:rFonts w:eastAsia="Aptos" w:cs="Noto Sans Arabic"/>
      <w:color w:themeColor="accent1" w:themeShade="bf" w:val="0F4761"/>
    </w:rPr>
  </w:style>
  <w:style w:type="character" w:styleId="Heading6Char">
    <w:name w:val="Heading 6 Char"/>
    <w:basedOn w:val="DefaultParagraphFont"/>
    <w:link w:val="Heading6"/>
    <w:qFormat/>
    <w:rPr>
      <w:rFonts w:eastAsia="Aptos" w:cs="Noto Sans Arabic"/>
      <w:i/>
      <w:iCs/>
      <w:color w:themeColor="dark1" w:themeTint="a6" w:val="595959"/>
    </w:rPr>
  </w:style>
  <w:style w:type="character" w:styleId="Heading7Char">
    <w:name w:val="Heading 7 Char"/>
    <w:basedOn w:val="DefaultParagraphFont"/>
    <w:link w:val="Heading7"/>
    <w:qFormat/>
    <w:rPr>
      <w:rFonts w:eastAsia="Aptos" w:cs="Noto Sans Arabic"/>
      <w:color w:themeColor="dark1" w:themeTint="a6" w:val="595959"/>
    </w:rPr>
  </w:style>
  <w:style w:type="character" w:styleId="Heading8Char">
    <w:name w:val="Heading 8 Char"/>
    <w:basedOn w:val="DefaultParagraphFont"/>
    <w:link w:val="Heading8"/>
    <w:qFormat/>
    <w:rPr>
      <w:rFonts w:eastAsia="Aptos" w:cs="Noto Sans Arabic"/>
      <w:i/>
      <w:iCs/>
      <w:color w:themeColor="dark1" w:themeTint="d8" w:val="272727"/>
    </w:rPr>
  </w:style>
  <w:style w:type="character" w:styleId="Heading9Char">
    <w:name w:val="Heading 9 Char"/>
    <w:basedOn w:val="DefaultParagraphFont"/>
    <w:link w:val="Heading9"/>
    <w:qFormat/>
    <w:rPr>
      <w:rFonts w:eastAsia="Aptos" w:cs="Noto Sans Arabic"/>
      <w:color w:themeColor="dark1" w:themeTint="d8" w:val="272727"/>
    </w:rPr>
  </w:style>
  <w:style w:type="character" w:styleId="TitleChar">
    <w:name w:val="Title Char"/>
    <w:basedOn w:val="DefaultParagraphFont"/>
    <w:link w:val="Title"/>
    <w:qFormat/>
    <w:rPr>
      <w:rFonts w:ascii="Aptos Display" w:hAnsi="Aptos Display" w:eastAsia="Aptos" w:cs="Noto Sans Arabic"/>
      <w:spacing w:val="-10"/>
      <w:kern w:val="2"/>
      <w:sz w:val="56"/>
      <w:szCs w:val="56"/>
    </w:rPr>
  </w:style>
  <w:style w:type="character" w:styleId="SubtitleChar">
    <w:name w:val="Subtitle Char"/>
    <w:basedOn w:val="DefaultParagraphFont"/>
    <w:link w:val="Subtitle"/>
    <w:qFormat/>
    <w:rPr>
      <w:rFonts w:eastAsia="Aptos"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rFonts w:ascii="Times New Roman" w:hAnsi="Times New Roman"/>
    </w:rPr>
  </w:style>
  <w:style w:type="character" w:styleId="FooterChar">
    <w:name w:val="Footer Char"/>
    <w:basedOn w:val="DefaultParagraphFont"/>
    <w:link w:val="Footer"/>
    <w:qFormat/>
    <w:rPr>
      <w:rFonts w:ascii="Times New Roman" w:hAnsi="Times New Roman"/>
    </w:rPr>
  </w:style>
  <w:style w:type="character" w:styleId="Hyperlink">
    <w:name w:val="Hyperlink"/>
    <w:basedOn w:val="DefaultParagraphFont"/>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i/>
      <w:iCs/>
      <w:color w:themeColor="dark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itleChar"/>
    <w:qFormat/>
    <w:pPr/>
    <w:rPr>
      <w:rFonts w:eastAsia="Aptos"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qFormat/>
    <w:pPr>
      <w:tabs>
        <w:tab w:val="clear" w:pos="720"/>
      </w:tabs>
      <w:spacing w:before="0" w:after="0"/>
      <w:ind w:hanging="720" w:start="720" w:end="0"/>
    </w:pPr>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kern w:val="0"/>
      <w:sz w:val="32"/>
      <w:szCs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Bibliography1">
    <w:name w:val="Bibliography 1"/>
    <w:basedOn w:val="Index"/>
    <w:qFormat/>
    <w:pPr>
      <w:tabs>
        <w:tab w:val="clear" w:pos="720"/>
      </w:tabs>
      <w:spacing w:lineRule="atLeast" w:line="480" w:before="0" w:after="0"/>
      <w:ind w:hanging="720" w:start="72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yperlink" Target="https://www.fairfaxcounty.gov/informationtechnology/sites/informationtechnology/files/assets/security/pm70-05_03.pdf" TargetMode="Externa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372</TotalTime>
  <Application>LibreOffice/26.2.4.2$Linux_X86_64 LibreOffice_project/620$Build-2</Application>
  <AppVersion>15.0000</AppVersion>
  <Pages>5</Pages>
  <Words>706</Words>
  <Characters>4574</Characters>
  <CharactersWithSpaces>5262</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2026-07-19T16:33:55Z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id="1G3kiV8X"/&gt;&lt;style id="http://www.zotero.org/styles/apa" locale="en-US" hasBibliography="1" bibliographyStyleHasBeenSet="1"/&gt;&lt;prefs&gt;&lt;pref name="fieldType" value="ReferenceMark"/&gt;&lt;/prefs&gt;&lt;/data&gt;</vt:lpwstr>
  </property>
</Properties>
</file>