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2.svg" ContentType="image/sv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IT 253 Project One Memo</w:t>
      </w:r>
    </w:p>
    <w:p>
      <w:pPr>
        <w:pStyle w:val="Normal"/>
        <w:pBdr/>
        <w:suppressAutoHyphens w:val="true"/>
        <w:spacing w:before="0" w:after="0"/>
        <w:contextualSpacing/>
        <w:rPr>
          <w:rFonts w:ascii="Calibri" w:hAnsi="Calibri" w:cs="Calibri"/>
          <w:color w:val="000000"/>
          <w:sz w:val="22"/>
          <w:szCs w:val="22"/>
        </w:rPr>
      </w:pPr>
      <w:r>
        <w:rPr>
          <w:rFonts w:cs="Calibri" w:ascii="Calibri" w:hAnsi="Calibri"/>
          <w:color w:val="000000"/>
          <w:sz w:val="22"/>
          <w:szCs w:val="22"/>
        </w:rPr>
      </w:r>
    </w:p>
    <w:p>
      <w:pPr>
        <w:pStyle w:val="Normal"/>
        <w:pBdr/>
        <w:suppressAutoHyphens w:val="true"/>
        <w:spacing w:before="0" w:after="0"/>
        <w:contextualSpacing/>
        <w:rPr>
          <w:rFonts w:ascii="Calibri" w:hAnsi="Calibri" w:eastAsia="Calibri" w:cs="Calibri"/>
          <w:b w:val="false"/>
          <w:bCs w:val="false"/>
          <w:sz w:val="22"/>
          <w:szCs w:val="22"/>
        </w:rPr>
      </w:pPr>
      <w:r>
        <w:rPr>
          <w:rFonts w:eastAsia="Calibri" w:cs="Calibri" w:ascii="Calibri" w:hAnsi="Calibri"/>
          <w:b/>
          <w:sz w:val="22"/>
          <w:szCs w:val="22"/>
        </w:rPr>
        <w:t xml:space="preserve">DATE: </w:t>
      </w:r>
      <w:r>
        <w:rPr>
          <w:rFonts w:eastAsia="Calibri" w:cs="Calibri" w:ascii="Calibri" w:hAnsi="Calibri"/>
          <w:b w:val="false"/>
          <w:bCs w:val="false"/>
          <w:sz w:val="22"/>
          <w:szCs w:val="22"/>
        </w:rPr>
        <w:t>08/02/2026</w:t>
      </w:r>
    </w:p>
    <w:p>
      <w:pPr>
        <w:pStyle w:val="Normal"/>
        <w:pBdr/>
        <w:suppressAutoHyphens w:val="true"/>
        <w:spacing w:before="0" w:after="0"/>
        <w:contextualSpacing/>
        <w:rPr>
          <w:rFonts w:ascii="Calibri" w:hAnsi="Calibri" w:eastAsia="Calibri" w:cs="Calibri"/>
          <w:b/>
          <w:sz w:val="22"/>
          <w:szCs w:val="22"/>
        </w:rPr>
      </w:pPr>
      <w:r>
        <w:rPr>
          <w:rFonts w:eastAsia="Calibri" w:cs="Calibri" w:ascii="Calibri" w:hAnsi="Calibri"/>
          <w:b/>
          <w:sz w:val="22"/>
          <w:szCs w:val="22"/>
        </w:rPr>
      </w:r>
    </w:p>
    <w:p>
      <w:pPr>
        <w:pStyle w:val="Normal"/>
        <w:pBdr/>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TO:</w:t>
      </w:r>
      <w:r>
        <w:rPr>
          <w:rFonts w:eastAsia="Calibri" w:cs="Calibri" w:ascii="Calibri" w:hAnsi="Calibri"/>
          <w:sz w:val="22"/>
          <w:szCs w:val="22"/>
        </w:rPr>
        <w:t xml:space="preserve"> Company Leadership</w:t>
      </w:r>
    </w:p>
    <w:p>
      <w:pPr>
        <w:pStyle w:val="Normal"/>
        <w:pBdr/>
        <w:suppressAutoHyphens w:val="true"/>
        <w:spacing w:before="0" w:after="0"/>
        <w:contextualSpacing/>
        <w:rPr>
          <w:rFonts w:ascii="Calibri" w:hAnsi="Calibri" w:eastAsia="Calibri" w:cs="Calibri"/>
          <w:b/>
          <w:sz w:val="22"/>
          <w:szCs w:val="22"/>
        </w:rPr>
      </w:pPr>
      <w:r>
        <w:rPr>
          <w:rFonts w:eastAsia="Calibri" w:cs="Calibri" w:ascii="Calibri" w:hAnsi="Calibri"/>
          <w:b/>
          <w:sz w:val="22"/>
          <w:szCs w:val="22"/>
        </w:rPr>
      </w:r>
    </w:p>
    <w:p>
      <w:pPr>
        <w:pStyle w:val="Normal"/>
        <w:pBdr/>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 xml:space="preserve">FROM: </w:t>
      </w:r>
      <w:r>
        <w:rPr>
          <w:rFonts w:eastAsia="Calibri" w:cs="Calibri" w:ascii="Calibri" w:hAnsi="Calibri"/>
          <w:sz w:val="22"/>
          <w:szCs w:val="22"/>
        </w:rPr>
        <w:t>Information Security Manager</w:t>
      </w:r>
    </w:p>
    <w:p>
      <w:pPr>
        <w:pStyle w:val="Normal"/>
        <w:pBdr/>
        <w:suppressAutoHyphens w:val="true"/>
        <w:spacing w:before="0" w:after="0"/>
        <w:contextualSpacing/>
        <w:rPr>
          <w:rFonts w:ascii="Calibri" w:hAnsi="Calibri" w:eastAsia="Calibri" w:cs="Calibri"/>
          <w:b/>
          <w:sz w:val="22"/>
          <w:szCs w:val="22"/>
        </w:rPr>
      </w:pPr>
      <w:r>
        <w:rPr>
          <w:rFonts w:eastAsia="Calibri" w:cs="Calibri" w:ascii="Calibri" w:hAnsi="Calibri"/>
          <w:b/>
          <w:sz w:val="22"/>
          <w:szCs w:val="22"/>
        </w:rPr>
      </w:r>
    </w:p>
    <w:p>
      <w:pPr>
        <w:pStyle w:val="Normal"/>
        <w:pBdr/>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SUBJECT:</w:t>
      </w:r>
      <w:r>
        <w:rPr>
          <w:rFonts w:eastAsia="Calibri" w:cs="Calibri" w:ascii="Calibri" w:hAnsi="Calibri"/>
          <w:sz w:val="22"/>
          <w:szCs w:val="22"/>
        </w:rPr>
        <w:t xml:space="preserve"> </w:t>
      </w:r>
      <w:r>
        <w:rPr>
          <w:rFonts w:eastAsia="Calibri" w:cs="Calibri" w:ascii="Calibri" w:hAnsi="Calibri"/>
          <w:sz w:val="22"/>
          <w:szCs w:val="22"/>
        </w:rPr>
        <w:t>Recommendations to Address High-Risk Information Security (INFOSEC) Findings</w:t>
      </w:r>
    </w:p>
    <w:p>
      <w:pPr>
        <w:pStyle w:val="Normal"/>
        <w:pBdr/>
        <w:suppressAutoHyphens w:val="true"/>
        <w:spacing w:before="0" w:after="0"/>
        <w:contextualSpacing/>
        <w:rPr>
          <w:rFonts w:ascii="Calibri" w:hAnsi="Calibri" w:eastAsia="Calibri" w:cs="Calibri"/>
          <w:sz w:val="22"/>
          <w:szCs w:val="22"/>
        </w:rPr>
      </w:pPr>
      <w:r>
        <w:rPr>
          <w:rFonts w:eastAsia="Calibri" w:cs="Calibri" w:ascii="Calibri" w:hAnsi="Calibri"/>
          <w:sz w:val="22"/>
          <w:szCs w:val="22"/>
        </w:rPr>
      </w:r>
    </w:p>
    <w:p>
      <w:pPr>
        <w:pStyle w:val="Normal"/>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Introduction:</w:t>
      </w:r>
      <w:r>
        <w:rPr>
          <w:rFonts w:eastAsia="Calibri" w:cs="Calibri" w:ascii="Calibri" w:hAnsi="Calibri"/>
          <w:sz w:val="22"/>
          <w:szCs w:val="22"/>
        </w:rPr>
        <w:t xml:space="preserve"> The company currently reports $110 million in annual revenue and wants to increase that amount by 20%, which would represent approximately $22 million in additional sales. However, expanding the business will also increase the number of customers, transactions, systems, and devices that need to be protected. Since the company now operates entirely online, a prolonged website outage could immediately interrupt sales and affect systems throughout the manufacturing supply chain. Ransomware, data loss, regulatory penalties, and the loss of customer trust could also consume a significant portion of the revenue the company expects to gain. Several of the consultant’s findings create immediate and unnecessary risks that should be addressed before expansion. Correcting these issues will help protect current operations and provide a stronger foundation for growth. The company should then continue developing its information security program alongside the business so that its policies and controls keep pace with its changing needs.</w:t>
      </w:r>
    </w:p>
    <w:p>
      <w:pPr>
        <w:pStyle w:val="Normal"/>
        <w:suppressAutoHyphens w:val="true"/>
        <w:spacing w:before="0" w:after="0"/>
        <w:contextualSpacing/>
        <w:rPr>
          <w:sz w:val="22"/>
          <w:szCs w:val="22"/>
        </w:rPr>
      </w:pPr>
      <w:r>
        <w:rPr>
          <w:sz w:val="22"/>
          <w:szCs w:val="22"/>
        </w:rPr>
      </w:r>
    </w:p>
    <w:p>
      <w:pPr>
        <w:pStyle w:val="Normal"/>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Laws and Regulations:</w:t>
      </w:r>
      <w:r>
        <w:rPr>
          <w:rFonts w:eastAsia="Calibri" w:cs="Calibri" w:ascii="Calibri" w:hAnsi="Calibri"/>
          <w:sz w:val="22"/>
          <w:szCs w:val="22"/>
        </w:rPr>
        <w:t xml:space="preserve"> As a publicly traded company, the organization must comply with the Sarbanes-Oxley Act (SOX). SOX requires leadership to establish and evaluate internal controls that support accurate and reliable financial reporting. Information security policies help support these requirements by defining who can access financial systems, how system changes are approved and documented, how activity is recorded, and how important data is backed up and restored. The company’s international operations also create additional privacy responsibilities. Its office in Germany and its handling of European customer and employee data mean that at least some operations are subject to the General Data Protection Regulation (GDPR). Certain GDPR violations can result in fines of up to €20 million or 4% of annual worldwide revenue. U.S. consumer-protection and breach-notification requirements may create additional costs after an incident. Keeping security policies current will help the company avoid fines, legal expenses, failed audits, and damage to customer trust.</w:t>
      </w:r>
    </w:p>
    <w:p>
      <w:pPr>
        <w:pStyle w:val="Normal"/>
        <w:suppressAutoHyphens w:val="true"/>
        <w:spacing w:before="0" w:after="0"/>
        <w:contextualSpacing/>
        <w:rPr>
          <w:sz w:val="22"/>
          <w:szCs w:val="22"/>
        </w:rPr>
      </w:pPr>
      <w:r>
        <w:rPr>
          <w:sz w:val="22"/>
          <w:szCs w:val="22"/>
        </w:rPr>
      </w:r>
    </w:p>
    <w:p>
      <w:pPr>
        <w:pStyle w:val="Normal"/>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 xml:space="preserve">Technical Controls: </w:t>
      </w:r>
      <w:r>
        <w:rPr>
          <w:rFonts w:eastAsia="Calibri" w:cs="Calibri" w:ascii="Calibri" w:hAnsi="Calibri"/>
          <w:b w:val="false"/>
          <w:bCs w:val="false"/>
          <w:sz w:val="22"/>
          <w:szCs w:val="22"/>
        </w:rPr>
        <w:t>The company should replace WEP with WPA3-Enterprise and separate employee, guest, and sensitive business systems into different network segments. This would make unauthorized access more difficult and limit how far an attacker could move if one system were compromised. Centralized endpoint management should automatically update antivirus or endpoint protection software, encrypt laptops and phones, and lock unattended workstations after a short period of inactivity. The shared administrator account should also be replaced with individual accounts protected by multi-factor authentication and limited to the access each employee needs. System and security logs should be collected in one central location so suspicious activity can be detected and investigated more quickly. Finally, the company should maintain encrypted backups in a separate off-site location, including a protected copy that ransomware can’t modify, and regularly test whether those backups can be restored. These controls would reduce the risk of a company-wide incident and help restore operations before extended downtime results in substantial lost sales.</w:t>
      </w:r>
    </w:p>
    <w:p>
      <w:pPr>
        <w:pStyle w:val="Normal"/>
        <w:suppressAutoHyphens w:val="true"/>
        <w:spacing w:before="0" w:after="0"/>
        <w:contextualSpacing/>
        <w:rPr>
          <w:sz w:val="22"/>
          <w:szCs w:val="22"/>
        </w:rPr>
      </w:pPr>
      <w:r>
        <w:rPr>
          <w:sz w:val="22"/>
          <w:szCs w:val="22"/>
        </w:rPr>
      </w:r>
    </w:p>
    <w:p>
      <w:pPr>
        <w:pStyle w:val="Normal"/>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 xml:space="preserve">Administrative Controls: </w:t>
      </w:r>
      <w:r>
        <w:rPr>
          <w:rFonts w:eastAsia="Calibri" w:cs="Calibri" w:ascii="Calibri" w:hAnsi="Calibri"/>
          <w:b w:val="false"/>
          <w:bCs w:val="false"/>
          <w:sz w:val="22"/>
          <w:szCs w:val="22"/>
        </w:rPr>
        <w:t>The company should begin by updating its information security policy and establishing a schedule to review it at least once each year or whenever major business or technology changes occur. The policy should clearly define employee and IT security responsibilities, acceptable use, access approval, change control, data handling, and the consequences of noncompliance. All employees should complete regular security awareness training that explains how to recognize and report phishing, suspicious messages, lost devices, and other possible incidents. IT employees and administrators should receive additional role-based training because their access creates greater risk if an account is misused. The company also needs documented business continuity, disaster recovery, and incident response plans that identify responsible employees, communication procedures, recovery priorities, and acceptable downtime. These plans should be tested regularly instead of waiting for an emergency to discover whether they work. Clear policies, training, and tested recovery procedures will reduce preventable mistakes and help the company respond quickly enough to limit downtime, recovery expenses, and lost revenue.</w:t>
      </w:r>
    </w:p>
    <w:p>
      <w:pPr>
        <w:pStyle w:val="Normal"/>
        <w:suppressAutoHyphens w:val="true"/>
        <w:spacing w:before="0" w:after="0"/>
        <w:contextualSpacing/>
        <w:rPr>
          <w:sz w:val="22"/>
          <w:szCs w:val="22"/>
        </w:rPr>
      </w:pPr>
      <w:r>
        <w:rPr>
          <w:sz w:val="22"/>
          <w:szCs w:val="22"/>
        </w:rPr>
      </w:r>
    </w:p>
    <w:p>
      <w:pPr>
        <w:pStyle w:val="Normal"/>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 xml:space="preserve">Physical Controls: </w:t>
      </w:r>
      <w:r>
        <w:rPr>
          <w:rFonts w:eastAsia="Calibri" w:cs="Calibri" w:ascii="Calibri" w:hAnsi="Calibri"/>
          <w:b w:val="false"/>
          <w:bCs w:val="false"/>
          <w:sz w:val="22"/>
          <w:szCs w:val="22"/>
        </w:rPr>
        <w:t>The company should strengthen building access by installing badge-controlled entrances that prevent employees from allowing another person to follow them inside. Visitors should receive temporary badges, remain with an authorized employee, and be recorded in a visitor log. Security cameras should monitor entrances and other sensitive areas so unauthorized access can be investigated. Data center access should be restricted to employees whose jobs require it instead of allowing entry to anyone with a company or visitor badge. Access attempts should also be logged and reviewed regularly. The data center needs an uninterruptible power supply for short outages and a generator capable of supporting critical systems during longer failures. Workstations in shared or public areas should be positioned to reduce unauthorized viewing and physically secured where theft is a concern. Finally, backup copies should be stored in a separate secure location so a fire, flood, theft, or other incident at headquarters can’t destroy both the production systems and the data needed for recovery. These controls would reduce the financial impact of unauthorized entry, equipment theft, and extended outages.</w:t>
      </w:r>
    </w:p>
    <w:p>
      <w:pPr>
        <w:pStyle w:val="Normal"/>
        <w:suppressAutoHyphens w:val="true"/>
        <w:spacing w:before="0" w:after="0"/>
        <w:contextualSpacing/>
        <w:rPr>
          <w:sz w:val="22"/>
          <w:szCs w:val="22"/>
        </w:rPr>
      </w:pPr>
      <w:r>
        <w:rPr>
          <w:sz w:val="22"/>
          <w:szCs w:val="22"/>
        </w:rPr>
      </w:r>
    </w:p>
    <w:p>
      <w:pPr>
        <w:pStyle w:val="Normal"/>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 xml:space="preserve">Business Impact: </w:t>
      </w:r>
      <w:r>
        <w:rPr>
          <w:rFonts w:eastAsia="Calibri" w:cs="Calibri" w:ascii="Calibri" w:hAnsi="Calibri"/>
          <w:b w:val="false"/>
          <w:bCs w:val="false"/>
          <w:sz w:val="22"/>
          <w:szCs w:val="22"/>
        </w:rPr>
        <w:t>These recommendations would move information security from a collection of informal practices into a more consistent and accountable company program. Employees would need to complete regular training, follow updated policies, use individual accounts, and report suspicious activity instead of assuming security is only the IT department’s responsibility. IT staff would have clearer roles and would be expected to document changes, review access, monitor centralized logs, maintain updated endpoint protection, and regularly test backups and recovery plans. The company would also need to invest in upgraded wireless equipment, backup power, secure off-site storage, monitoring tools, and stronger physical access controls. These changes will require funding and employee time, and some may briefly interrupt normal work during implementation. However, those costs are more predictable and manageable than the lost sales, recovery expenses, legal fees, regulatory penalties, and reputational damage that could follow a major incident. Establishing these practices now will also make it easier to protect the business as its customer base and revenue grow.</w:t>
      </w:r>
    </w:p>
    <w:p>
      <w:pPr>
        <w:pStyle w:val="Normal"/>
        <w:suppressAutoHyphens w:val="true"/>
        <w:spacing w:before="0" w:after="0"/>
        <w:contextualSpacing/>
        <w:rPr>
          <w:sz w:val="22"/>
          <w:szCs w:val="22"/>
        </w:rPr>
      </w:pPr>
      <w:r>
        <w:rPr>
          <w:sz w:val="22"/>
          <w:szCs w:val="22"/>
        </w:rPr>
      </w:r>
    </w:p>
    <w:p>
      <w:pPr>
        <w:pStyle w:val="Normal"/>
        <w:suppressAutoHyphens w:val="true"/>
        <w:spacing w:before="0" w:after="0"/>
        <w:contextualSpacing/>
        <w:rPr>
          <w:rFonts w:ascii="Calibri" w:hAnsi="Calibri" w:eastAsia="Calibri" w:cs="Calibri"/>
          <w:sz w:val="22"/>
          <w:szCs w:val="22"/>
        </w:rPr>
      </w:pPr>
      <w:r>
        <w:rPr>
          <w:rFonts w:eastAsia="Calibri" w:cs="Calibri" w:ascii="Calibri" w:hAnsi="Calibri"/>
          <w:b/>
          <w:sz w:val="22"/>
          <w:szCs w:val="22"/>
        </w:rPr>
        <w:t xml:space="preserve">Conclusion: </w:t>
      </w:r>
      <w:r>
        <w:rPr>
          <w:rFonts w:eastAsia="Calibri" w:cs="Calibri" w:ascii="Calibri" w:hAnsi="Calibri"/>
          <w:b w:val="false"/>
          <w:bCs w:val="false"/>
          <w:sz w:val="22"/>
          <w:szCs w:val="22"/>
        </w:rPr>
        <w:t>Leadership should act on these recommendations because the consultant’s findings show several ways that one incident could interrupt sales, expose sensitive information, or prevent the company from recovering quickly. The current weaknesses affect technical systems, employee practices, and physical facilities, so no single control will correct them all. Combining stronger access controls, encryption, monitoring, employee training, updated policies, secure facilities, and tested recovery plans will create multiple layers of protection. Several high-risk findings should be addressed immediately, especially WEP wireless security, shared administrator access, unencrypted backups and mobile devices, unrestricted data center access, and the lack of recovery plans and backup power. Addressing these issues now will protect current revenue, reduce compliance and recovery costs, and allow the security program to grow alongside the company rather than becoming a barrier to its planned expansion.</w:t>
      </w:r>
    </w:p>
    <w:sectPr>
      <w:headerReference w:type="default" r:id="rId2"/>
      <w:footerReference w:type="default" r:id="rId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pPr>
      <w:numPr>
        <w:ilvl w:val="0"/>
        <w:numId w:val="0"/>
      </w:numPr>
      <w:suppressAutoHyphens w:val="true"/>
      <w:spacing w:before="0" w:after="0"/>
      <w:contextualSpacing/>
      <w:jc w:val="center"/>
      <w:outlineLvl w:val="0"/>
    </w:pPr>
    <w:rPr>
      <w:rFonts w:ascii="Calibri" w:hAnsi="Calibri" w:eastAsia="Calibri" w:cs="Calibri"/>
      <w:b/>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rFonts w:ascii="Calibri" w:hAnsi="Calibri" w:eastAsia="Calibri" w:cs="Calibri"/>
      <w:b/>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rFonts w:ascii="Calibri" w:hAnsi="Calibri" w:eastAsia="Calibri" w:cs="Noto Sans Arabic"/>
      <w:sz w:val="22"/>
      <w:szCs w:val="22"/>
    </w:rPr>
  </w:style>
  <w:style w:type="paragraph" w:styleId="Footer">
    <w:name w:val="footer"/>
    <w:basedOn w:val="Normal"/>
    <w:link w:val="FooterChar"/>
    <w:pPr>
      <w:tabs>
        <w:tab w:val="clear" w:pos="720"/>
        <w:tab w:val="center" w:pos="4680" w:leader="none"/>
        <w:tab w:val="right" w:pos="9360" w:leader="none"/>
      </w:tabs>
    </w:pPr>
    <w:rPr>
      <w:rFonts w:ascii="Calibri" w:hAnsi="Calibri" w:eastAsia="Calibri" w:cs="Noto Sans Arabic"/>
      <w:sz w:val="22"/>
      <w:szCs w:val="22"/>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LibreOffice/26.2.5.2$Linux_X86_64 LibreOffice_project/620$Build-2</Application>
  <AppVersion>15.0000</AppVersion>
  <Pages>3</Pages>
  <Words>1134</Words>
  <Characters>6965</Characters>
  <CharactersWithSpaces>8086</CharactersWithSpaces>
  <Paragraphs>14</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2020-06-12T15:44:00Z</dcterms:created>
  <dc:creator>Nadeau, Lynne</dc:creator>
  <dc:description/>
  <dc:language>en-US</dc:language>
  <cp:lastModifiedBy/>
  <dcterms:modified xsi:type="dcterms:W3CDTF">2026-08-02T16:15:05Z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Order">
    <vt:r8>7410600</vt:r8>
  </property>
  <property fmtid="{D5CDD505-2E9C-101B-9397-08002B2CF9AE}" pid="5" name="TemplateUrl">
    <vt:lpwstr/>
  </property>
  <property fmtid="{D5CDD505-2E9C-101B-9397-08002B2CF9AE}" pid="6" name="xd_ProgID">
    <vt:lpwstr/>
  </property>
  <property fmtid="{D5CDD505-2E9C-101B-9397-08002B2CF9AE}" pid="7" name="xd_Signature">
    <vt:bool>0</vt:bool>
  </property>
</Properties>
</file>