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6</w:t>
      </w:r>
      <w:r>
        <w:rPr>
          <w:b/>
          <w:bCs/>
        </w:rPr>
        <w:t>-2</w:t>
      </w:r>
      <w:r>
        <w:rPr>
          <w:b/>
          <w:bCs/>
        </w:rPr>
        <w:t xml:space="preserve"> </w:t>
      </w:r>
      <w:r>
        <w:rPr>
          <w:b/>
          <w:bCs/>
        </w:rPr>
        <w:t>Journal</w:t>
      </w:r>
      <w:r>
        <w:rPr>
          <w:b/>
          <w:bCs/>
        </w:rPr>
        <w:t>: Information Security Management</w:t>
      </w:r>
    </w:p>
    <w:p>
      <w:pPr>
        <w:pStyle w:val="Normal"/>
        <w:jc w:val="center"/>
        <w:rPr>
          <w:b/>
          <w:bCs/>
        </w:rPr>
      </w:pPr>
      <w:r>
        <w:rPr>
          <w:b/>
          <w:bCs/>
        </w:rPr>
        <w:t>and Governance Reflections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August 9</w:t>
      </w:r>
      <w:r>
        <w:rPr/>
        <w:t>, 2026</w:t>
      </w:r>
      <w:r>
        <w:br w:type="page"/>
      </w:r>
    </w:p>
    <w:p>
      <w:pPr>
        <w:pStyle w:val="BodyText"/>
        <w:rPr/>
      </w:pPr>
      <w:r>
        <w:rPr/>
        <w:t>Information security governance establishes who is responsible for security decisions, what the organization expects, and how much risk it is willing to accept. Information security management puts that direction into practice through policies, procedures, technical controls, employee training, and daily operations. This distinction matters because an organization can purchase security tools without having an effective plan for how they should be used or who is responsible for the results. Good governance connects security decisions to the organization’s goals, legal requirements, and the information or systems that need protection. This reflects the governance, risk, and compliance model discussed by EC-Council (2024), which treats security as an organizational responsibility instead of only an IT issue.</w:t>
      </w:r>
    </w:p>
    <w:p>
      <w:pPr>
        <w:pStyle w:val="BodyText"/>
        <w:rPr/>
      </w:pPr>
      <w:r>
        <w:rPr/>
        <w:t>Organizations can determine whether their governance program is working by setting measurable expectations and regularly reviewing the results. Useful measures include how quickly critical vulnerabilities are corrected, how many patches are overdue, training completion rates, phishing simulation results, security incidents, and unresolved audit findings. Vulnerability assessments, penetration tests, audits, and incident-response exercises can also show whether policies work outside of ideal conditions. When these reviews identify a problem, someone should be assigned responsibility for correcting it and confirming that the correction was effective. A governance program is not accomplishing much if an organization collects security findings but does not act on them.</w:t>
      </w:r>
    </w:p>
    <w:p>
      <w:pPr>
        <w:pStyle w:val="BodyText"/>
        <w:rPr/>
      </w:pPr>
      <w:r>
        <w:rPr/>
        <w:t>A Security Education and Training Program (SETA) improves security by helping employees understand both what they are expected to do and why those expectations matter. Education provides a broader understanding of security, training teaches employees how to complete specific tasks safely, and awareness activities keep common threats visible throughout the year. A useful SETA program could include security instruction during on-boarding, periodic refresher training, phishing simulations, role-specific instruction, and a clear process for reporting suspicious activity. The program should also change in response to its results. For example, if many employees struggle to recognize a certain type of phishing message, that result should guide the next training activity. This makes SETA an ongoing way to reduce human risk rather than an annual requirement employees complete and immediately forget.</w:t>
      </w:r>
    </w:p>
    <w:p>
      <w:pPr>
        <w:pStyle w:val="BodyText"/>
        <w:rPr/>
      </w:pPr>
      <w:r>
        <w:rPr/>
        <w:t>Risk affects information security policies because not every system, vulnerability, or threat has the same potential impact. Policies provide a consistent baseline, but risk assessments help an organization decide where stronger controls or faster action are needed. Important factors include the likelihood of an incident, the damage it could cause, the sensitivity of the data, whether the system is exposed to the internet, and how important it is to normal operations. Depending on the results, an organization may avoid the risk, reduce it with additional controls, transfer it through insurance or contracts, or accept it when the cost of mitigation would be greater than the likely impact. Whitman and Mattord (2022) explain that this process requires continued monitoring, assessment, remediation, and review because systems and threats do not remain static.</w:t>
      </w:r>
    </w:p>
    <w:p>
      <w:pPr>
        <w:pStyle w:val="BodyText"/>
        <w:rPr/>
      </w:pPr>
      <w:r>
        <w:rPr/>
        <w:t>I have seen these ideas applied through both my healthcare IT experience and my personal homelab. In healthcare IT, role-based access and least privilege were important because employees needed enough access to perform their jobs without being able to view or change patient information unrelated to their responsibilities. In my homelab, I run several containerized services on an Ubuntu server. I assess their risk by considering which services are accessible from the internet, what information they handle, and how disruptive a compromise or outage would be. I prioritize updates for exposed services and use firewall rules, access restrictions, container isolation, logs, and backups to reduce risk. These experiences have shown me that security management is not about applying every possible control equally. Governance sets the expectations, risk management determines the priorities, policies provide consistent guidance, and SETA helps people carry those expectations out in practice.</w:t>
      </w:r>
      <w:r>
        <w:br w:type="page"/>
      </w:r>
    </w:p>
    <w:p>
      <w:pPr>
        <w:pStyle w:val="Heading2"/>
        <w:rPr/>
      </w:pPr>
      <w:r>
        <w:rPr/>
        <w:t>References</w:t>
      </w:r>
    </w:p>
    <w:p>
      <w:pPr>
        <w:pStyle w:val="Bibliography"/>
        <w:rPr/>
      </w:pPr>
      <w:r>
        <w:rPr/>
        <w:t xml:space="preserve">EC-Council. (2024, March 11). </w:t>
      </w:r>
      <w:r>
        <w:rPr>
          <w:i/>
          <w:iCs/>
        </w:rPr>
        <w:t>What is information security management</w:t>
      </w:r>
      <w:r>
        <w:rPr/>
        <w:t>. https://www.eccouncil.org/cybersecurity-exchange/executive-management/what-is-information-security-management/</w:t>
      </w:r>
    </w:p>
    <w:p>
      <w:pPr>
        <w:pStyle w:val="Bibliography"/>
        <w:rPr/>
      </w:pPr>
      <w:r>
        <w:rPr/>
        <w:t xml:space="preserve">Whitman, M. E., &amp; Mattord, H. J. (2022). </w:t>
      </w:r>
      <w:r>
        <w:rPr>
          <w:i/>
          <w:iCs/>
        </w:rPr>
        <w:t>Principles of information security</w:t>
      </w:r>
      <w:r>
        <w:rPr/>
        <w:t xml:space="preserve"> (7th ed.). Cengage.</w:t>
      </w:r>
    </w:p>
    <w:sectPr>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tabs>
        <w:tab w:val="clear" w:pos="720"/>
      </w:tabs>
      <w:spacing w:before="0" w:after="0"/>
      <w:ind w:hanging="720" w:start="720" w:end="0"/>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Bibliography1">
    <w:name w:val="Bibliography 1"/>
    <w:basedOn w:val="Index"/>
    <w:qFormat/>
    <w:pPr>
      <w:tabs>
        <w:tab w:val="clear" w:pos="720"/>
      </w:tabs>
      <w:spacing w:lineRule="atLeast" w:line="480" w:before="0" w:after="0"/>
      <w:ind w:hanging="720" w:start="72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408</TotalTime>
  <Application>LibreOffice/26.2.5.2$Linux_X86_64 LibreOffice_project/620$Build-2</Application>
  <AppVersion>15.0000</AppVersion>
  <Pages>5</Pages>
  <Words>670</Words>
  <Characters>4170</Characters>
  <CharactersWithSpaces>4823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2026-08-09T16:55:25Z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id="1G3kiV8X"/&gt;&lt;style id="http://www.zotero.org/styles/apa" locale="en-US" hasBibliography="1" bibliographyStyleHasBeenSet="1"/&gt;&lt;prefs&gt;&lt;pref name="fieldType" value="ReferenceMark"/&gt;&lt;/prefs&gt;&lt;/data&gt;</vt:lpwstr>
  </property>
</Properties>
</file>