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1-5 Assignment: UML Diagrams</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CS-230 Operating Platforms</w:t>
      </w:r>
    </w:p>
    <w:p>
      <w:pPr>
        <w:pStyle w:val="Normal"/>
        <w:jc w:val="center"/>
        <w:rPr/>
      </w:pPr>
      <w:r>
        <w:rPr/>
        <w:t>Prof. David McCullough</w:t>
      </w:r>
    </w:p>
    <w:p>
      <w:pPr>
        <w:pStyle w:val="Normal"/>
        <w:spacing w:before="0" w:after="160"/>
        <w:jc w:val="center"/>
        <w:rPr/>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vAlign w:val="center"/>
          <w:textDirection w:val="lrTb"/>
          <w:docGrid w:type="default" w:linePitch="360" w:charSpace="0"/>
        </w:sectPr>
      </w:pPr>
      <w:r>
        <w:rPr/>
        <w:t>July 5, 2026</w:t>
      </w:r>
      <w:r>
        <w:br w:type="page"/>
      </w:r>
    </w:p>
    <w:p>
      <w:pPr>
        <w:pStyle w:val="BodyText"/>
        <w:spacing w:before="0" w:after="140"/>
        <w:rPr/>
      </w:pPr>
      <w:r>
        <w:rPr/>
        <w:drawing>
          <wp:anchor distT="0" distB="0" distL="0" distR="0" simplePos="0" relativeHeight="2" behindDoc="0" locked="0" layoutInCell="0" allowOverlap="1">
            <wp:simplePos x="0" y="0"/>
            <wp:positionH relativeFrom="column">
              <wp:posOffset>57150</wp:posOffset>
            </wp:positionH>
            <wp:positionV relativeFrom="paragraph">
              <wp:posOffset>597535</wp:posOffset>
            </wp:positionV>
            <wp:extent cx="5943600" cy="67938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943600" cy="6793865"/>
                    </a:xfrm>
                    <a:prstGeom prst="rect">
                      <a:avLst/>
                    </a:prstGeom>
                    <a:noFill/>
                  </pic:spPr>
                </pic:pic>
              </a:graphicData>
            </a:graphic>
          </wp:anchor>
        </w:drawing>
      </w:r>
      <w:r>
        <w:br w:type="page"/>
      </w:r>
    </w:p>
    <w:p>
      <w:pPr>
        <w:pStyle w:val="BodyText"/>
        <w:spacing w:before="0" w:after="140"/>
        <w:rPr/>
      </w:pPr>
      <w:r>
        <w:rPr/>
        <w:t>The class diagram demonstrates several core object-oriented programming principles through the relationships between classes. The clearest example is inheritance, where Bicycle extends TwoWheeled, which extends Vehicle. Even though Vehicle and TwoWheeled don’t currently have any attributes or methods, they establish a hierarchy that could be expanded later.</w:t>
      </w:r>
    </w:p>
    <w:p>
      <w:pPr>
        <w:pStyle w:val="BodyText"/>
        <w:rPr/>
      </w:pPr>
      <w:r>
        <w:rPr/>
        <w:t>The diagram also shows encapsulation in the Bicycle class. The instance variables are marked as private, so they can’t be accessed directly from outside the class. Instead, public getter and setter methods provide controlled access to the object’s data. The overloaded constructors also demonstrate how a Bicycle object can be created in different ways depending on the information available.</w:t>
      </w:r>
    </w:p>
    <w:p>
      <w:pPr>
        <w:pStyle w:val="BodyText"/>
        <w:spacing w:before="0" w:after="140"/>
        <w:rPr/>
      </w:pPr>
      <w:r>
        <w:rPr/>
        <w:t>Finally, the Driver class demonstrates how classes interact without being part of the inheritance hierarchy. Rather than extending another class, it creates and uses instances of the other classes to test their behavior. Overall, the design illustrates how inheritance, encapsulation, and well-defined class relationships help organize code into a structure that is easier to understand, reuse, and maintain.</w:t>
      </w:r>
    </w:p>
    <w:sectPr>
      <w:headerReference w:type="even" r:id="rId6"/>
      <w:headerReference w:type="default" r:id="rId7"/>
      <w:headerReference w:type="first" r:id="rId8"/>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3</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3</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0cdd"/>
    <w:pPr>
      <w:widowControl/>
      <w:suppressAutoHyphens w:val="true"/>
      <w:bidi w:val="0"/>
      <w:spacing w:lineRule="auto" w:line="480" w:before="0" w:after="160"/>
      <w:jc w:val="start"/>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0c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f0c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f0c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f0c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f0c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f0c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f0c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f0c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f0c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0c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f0c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f0c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f0c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f0c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f0c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f0c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f0c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f0c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f0c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0c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f0cdd"/>
    <w:rPr>
      <w:i/>
      <w:iCs/>
      <w:color w:themeColor="text1" w:themeTint="bf" w:val="404040"/>
    </w:rPr>
  </w:style>
  <w:style w:type="character" w:styleId="IntenseEmphasis">
    <w:name w:val="Intense Emphasis"/>
    <w:basedOn w:val="DefaultParagraphFont"/>
    <w:uiPriority w:val="21"/>
    <w:qFormat/>
    <w:rsid w:val="005f0cdd"/>
    <w:rPr>
      <w:i/>
      <w:iCs/>
      <w:color w:themeColor="accent1" w:themeShade="bf" w:val="0F4761"/>
    </w:rPr>
  </w:style>
  <w:style w:type="character" w:styleId="IntenseQuoteChar" w:customStyle="1">
    <w:name w:val="Intense Quote Char"/>
    <w:basedOn w:val="DefaultParagraphFont"/>
    <w:link w:val="IntenseQuote"/>
    <w:uiPriority w:val="30"/>
    <w:qFormat/>
    <w:rsid w:val="005f0cdd"/>
    <w:rPr>
      <w:i/>
      <w:iCs/>
      <w:color w:themeColor="accent1" w:themeShade="bf" w:val="0F4761"/>
    </w:rPr>
  </w:style>
  <w:style w:type="character" w:styleId="IntenseReference">
    <w:name w:val="Intense Reference"/>
    <w:basedOn w:val="DefaultParagraphFont"/>
    <w:uiPriority w:val="32"/>
    <w:qFormat/>
    <w:rsid w:val="005f0cdd"/>
    <w:rPr>
      <w:b/>
      <w:bCs/>
      <w:smallCaps/>
      <w:color w:themeColor="accent1" w:themeShade="bf" w:val="0F4761"/>
      <w:spacing w:val="5"/>
    </w:rPr>
  </w:style>
  <w:style w:type="character" w:styleId="HeaderChar" w:customStyle="1">
    <w:name w:val="Header Char"/>
    <w:basedOn w:val="DefaultParagraphFont"/>
    <w:link w:val="Header"/>
    <w:uiPriority w:val="99"/>
    <w:qFormat/>
    <w:rsid w:val="00ea2f9b"/>
    <w:rPr>
      <w:rFonts w:ascii="Times New Roman" w:hAnsi="Times New Roman"/>
    </w:rPr>
  </w:style>
  <w:style w:type="character" w:styleId="FooterChar" w:customStyle="1">
    <w:name w:val="Footer Char"/>
    <w:basedOn w:val="DefaultParagraphFont"/>
    <w:link w:val="Footer"/>
    <w:uiPriority w:val="99"/>
    <w:qFormat/>
    <w:rsid w:val="00ea2f9b"/>
    <w:rPr>
      <w:rFonts w:ascii="Times New Roman" w:hAnsi="Times New Roman"/>
    </w:rPr>
  </w:style>
  <w:style w:type="character" w:styleId="Hyperlink">
    <w:name w:val="Hyperlink"/>
    <w:basedOn w:val="DefaultParagraphFont"/>
    <w:uiPriority w:val="99"/>
    <w:unhideWhenUsed/>
    <w:rsid w:val="00635c9a"/>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hanging="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323bd"/>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f0c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0c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f0cdd"/>
    <w:pPr>
      <w:spacing w:before="160" w:after="160"/>
      <w:jc w:val="center"/>
    </w:pPr>
    <w:rPr>
      <w:i/>
      <w:iCs/>
      <w:color w:themeColor="text1" w:themeTint="bf" w:val="404040"/>
    </w:rPr>
  </w:style>
  <w:style w:type="paragraph" w:styleId="ListParagraph">
    <w:name w:val="List Paragraph"/>
    <w:basedOn w:val="Normal"/>
    <w:uiPriority w:val="34"/>
    <w:qFormat/>
    <w:rsid w:val="005f0cdd"/>
    <w:pPr>
      <w:spacing w:before="0" w:after="160"/>
      <w:ind w:start="720"/>
      <w:contextualSpacing/>
    </w:pPr>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a2f9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2f9b"/>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2065d3"/>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35c9a"/>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635c9a"/>
    <w:pPr>
      <w:spacing w:before="0" w:after="100"/>
    </w:pPr>
    <w:rPr/>
  </w:style>
  <w:style w:type="paragraph" w:styleId="TOC2">
    <w:name w:val="toc 2"/>
    <w:basedOn w:val="Normal"/>
    <w:next w:val="Normal"/>
    <w:autoRedefine/>
    <w:uiPriority w:val="39"/>
    <w:unhideWhenUsed/>
    <w:rsid w:val="00a07b67"/>
    <w:pPr>
      <w:spacing w:before="0" w:after="100"/>
      <w:ind w:star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FTCnd</b:Tag>
    <b:SourceType>InternetSite</b:SourceType>
    <b:Guid>{55A2394F-937A-4435-9876-6152E08F1D52}</b:Guid>
    <b:Author>
      <b:Author>
        <b:Corporate>FTC</b:Corporate>
      </b:Author>
    </b:Author>
    <b:Title>Gramm-Leach-Bliley Act</b:Title>
    <b:Year>n.d.</b:Year>
    <b:URL>https://www.ftc.gov/business-guidance/privacy-security/gramm-leach-bliley-act</b:URL>
    <b:RefOrder>5</b:RefOrder>
  </b:Source>
  <b:Source>
    <b:Tag>NIS03</b:Tag>
    <b:SourceType>JournalArticle</b:SourceType>
    <b:Guid>{7F0D6060-83B4-4557-BB62-F9EAD1BFE00A}</b:Guid>
    <b:Author>
      <b:Author>
        <b:Corporate>NIST</b:Corporate>
      </b:Author>
    </b:Author>
    <b:Title>Building an Information Technology Security Awareness and Training Program</b:Title>
    <b:JournalName>National Institute of Standards and Technology SP 800-50</b:JournalName>
    <b:Year>2003</b:Year>
    <b:URL>https://nvlpubs.nist.gov/nistpubs/legacy/sp/nistspecialpublication800-50.pdf</b:URL>
    <b:RefOrder>1</b:RefOrder>
  </b:Source>
  <b:Source>
    <b:Tag>NIS08</b:Tag>
    <b:SourceType>JournalArticle</b:SourceType>
    <b:Guid>{622A006C-2625-4AD1-8039-55A5B3CE6BDE}</b:Guid>
    <b:Title>Technical Guide to Information Security Testing and Assessment</b:Title>
    <b:JournalName>National Institute of Standards and Technology SP 800-115</b:JournalName>
    <b:Year>2008</b:Year>
    <b:Author>
      <b:Author>
        <b:Corporate>NIST</b:Corporate>
      </b:Author>
    </b:Author>
    <b:URL>https://nvlpubs.nist.gov/nistpubs/Legacy/SP/nistspecialpublication800-115.pdf</b:URL>
    <b:RefOrder>4</b:RefOrder>
  </b:Source>
  <b:Source>
    <b:Tag>NIS17</b:Tag>
    <b:SourceType>JournalArticle</b:SourceType>
    <b:Guid>{5EA9E79C-7238-4DC4-850B-D01C6B22D6CF}</b:Guid>
    <b:Title>An introduction to information security</b:Title>
    <b:JournalName>National Institute of Standards and Technology SO 800-12 Rev. 1</b:JournalName>
    <b:Year>2017</b:Year>
    <b:Author>
      <b:Author>
        <b:Corporate>NIST</b:Corporate>
      </b:Author>
    </b:Author>
    <b:URL>https://nvlpubs.nist.gov/nistpubs/SpecialPublications/NIST.SP.800-12r1.pdf</b:URL>
    <b:RefOrder>3</b:RefOrder>
  </b:Source>
  <b:Source>
    <b:Tag>Nat20</b:Tag>
    <b:SourceType>JournalArticle</b:SourceType>
    <b:Guid>{633491CF-ECE3-474E-97AF-BAF865E07D87}</b:Guid>
    <b:Title>Security and Privacy Controls for Information Systems and Organizations</b:Title>
    <b:Year>2020</b:Year>
    <b:Author>
      <b:Author>
        <b:Corporate>NIST</b:Corporate>
      </b:Author>
    </b:Author>
    <b:JournalName>National Institute of Standards and Technology SP 800-53 Rev. 5</b:JournalName>
    <b:Publisher>U.S. Department of Commerce</b:Publisher>
    <b:URL>https://nvlpubs.nist.gov/nistpubs/SpecialPublications/NIST.SP.800-53r5.pdf</b:URL>
    <b:RefOrder>2</b:RefOrder>
  </b:Source>
  <b:Source>
    <b:Tag>NIS25</b:Tag>
    <b:SourceType>InternetSite</b:SourceType>
    <b:Guid>{A9079CCA-574F-484F-A291-B605C3E9C2BA}</b:Guid>
    <b:Author>
      <b:Author>
        <b:Corporate>NIST</b:Corporate>
      </b:Author>
    </b:Author>
    <b:Title>Incident response recommendations and considerations for cybersecurity risk management (SP 800-61 Rev. 3)</b:Title>
    <b:InternetSiteTitle>National Institute of Standards and Technology</b:InternetSiteTitle>
    <b:Year>2025</b:Year>
    <b:URL>https://nvlpubs.nist.gov/nistpubs/SpecialPublications/NIST.SP.800-61r3.pdf</b:URL>
    <b:RefOrder>6</b:RefOrder>
  </b:Source>
  <b:Source>
    <b:Tag>NIS14</b:Tag>
    <b:SourceType>InternetSite</b:SourceType>
    <b:Guid>{467F22D8-0FC2-417F-83D4-4C7E6780A639}</b:Guid>
    <b:Author>
      <b:Author>
        <b:Corporate>NIST</b:Corporate>
      </b:Author>
    </b:Author>
    <b:Title>Guidelines for media sanitization</b:Title>
    <b:InternetSiteTitle>National Institute of Standards and Technology</b:InternetSiteTitle>
    <b:Year>2014</b:Year>
    <b:URL>https://nvlpubs.nist.gov/nistpubs/SpecialPublications/NIST.SP.800-88r1.pdf</b:URL>
    <b:RefOrder>7</b:RefOrder>
  </b:Source>
</b:Sources>
</file>

<file path=customXml/itemProps1.xml><?xml version="1.0" encoding="utf-8"?>
<ds:datastoreItem xmlns:ds="http://schemas.openxmlformats.org/officeDocument/2006/customXml" ds:itemID="{CDAF0B09-8358-441C-BCAF-4D3F7A455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Application>LibreOffice/26.2.4.2$Linux_X86_64 LibreOffice_project/620$Build-2</Application>
  <AppVersion>15.0000</AppVersion>
  <Pages>3</Pages>
  <Words>187</Words>
  <Characters>1121</Characters>
  <CharactersWithSpaces>1295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2026-07-05T19:59:40Z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