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1-2 Journal: Law and Regulations in Information Security Reflections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IT-253 Computer Systems Security</w:t>
      </w:r>
    </w:p>
    <w:p>
      <w:pPr>
        <w:pStyle w:val="Normal"/>
        <w:jc w:val="center"/>
        <w:rPr/>
      </w:pPr>
      <w:r>
        <w:rPr/>
        <w:t>Dr. Robert Rupocinski</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July 5, 2026</w:t>
      </w:r>
      <w:r>
        <w:br w:type="page"/>
      </w:r>
    </w:p>
    <w:p>
      <w:pPr>
        <w:pStyle w:val="BodyText"/>
        <w:spacing w:before="0" w:after="140"/>
        <w:rPr/>
      </w:pPr>
      <w:r>
        <w:rPr/>
        <w:t>One thing I enjoyed about this first module was that it provided a structured way to think about ideas that I’ve already encountered through work, previous coursework, and my own interest in technology. I have some experience with the legal and regulatory side of information technology from both healthcare IT and earlier classes, so topics like HIPAA weren’t completely new to me. What this module added was a stronger connection between those regulations and the core principles of information security. Whitman and Mattord (2022) explain that the Committee on National Security Systems (CNSS) defines information security as protecting information and information systems from unauthorized access, use, disclosure, disruption, modification, or destruction while maintaining confidentiality, integrity, and availability. I like that this definition focuses on protecting both the information itself and the systems that support it. It reflects how interconnected modern computing has become.</w:t>
      </w:r>
    </w:p>
    <w:p>
      <w:pPr>
        <w:pStyle w:val="BodyText"/>
        <w:spacing w:before="0" w:after="140"/>
        <w:rPr/>
      </w:pPr>
      <w:r>
        <w:rPr/>
        <w:t>The CIA triad is a simple concept, but I think it’s useful because it provides a way to evaluate almost any security decision. Confidentiality protects information from unauthorized disclosure, integrity ensures information remains accurate and trustworthy, and availability makes sure authorized users can access systems and data when they’re needed (Whitman &amp; Mattord, 2022). The TestOut Security Pro activities helped reinforce that these aren’t independent goals. Improving one area often requires balancing the others, and effective security comes from considering all three together instead of optimizing only one (TestOut, n.d.).</w:t>
      </w:r>
    </w:p>
    <w:p>
      <w:pPr>
        <w:pStyle w:val="BodyText"/>
        <w:spacing w:before="0" w:after="140"/>
        <w:rPr/>
      </w:pPr>
      <w:r>
        <w:rPr/>
        <w:t>I’ve seen those trade-offs firsthand while working on my own Linux systems and home lab. As I’ve expanded my server, I’ve started thinking less about simply getting services running and more about designing them to be more reliable over time. Backups, redundant storage, and controlled access all seemed like practical decisions before, but this module helped me connect those decisions to the CIA triad. Good backups improve availability, regularly verifying that backups haven’t been corrupted supports integrity, and limiting access to personal information protects confidentiality. It’s easy to think of security as something you add once a project is finished, but the more experience I gain, the more convinced I become that security has to be part of the design from the beginning.</w:t>
      </w:r>
    </w:p>
    <w:p>
      <w:pPr>
        <w:pStyle w:val="BodyText"/>
        <w:spacing w:before="0" w:after="140"/>
        <w:rPr/>
      </w:pPr>
      <w:r>
        <w:rPr/>
        <w:t>HIPAA is probably the law I’m most familiar with because of my previous work in healthcare IT. Before this module, I mostly thought about HIPAA as a set of legal requirements that organizations have to follow. After working through the readings, I see it more as an example of how information security principles are put into practice. Healthcare organizations are responsible for protecting some of the most sensitive information that people have, and HIPAA requires them to implement administrative, physical, and technical safeguards to protect that information (Whitman &amp; Mattord, 2022). If those safeguards are neglected, the consequences extend well beyond regulatory fines. Patients can lose trust in their healthcare providers, sensitive medical information can be exposed, and organizations may face legal, financial, and reputational damage.</w:t>
      </w:r>
    </w:p>
    <w:p>
      <w:pPr>
        <w:pStyle w:val="BodyText"/>
        <w:spacing w:before="0" w:after="140"/>
        <w:rPr/>
      </w:pPr>
      <w:r>
        <w:rPr/>
        <w:t>Overall, this module reinforced why I chose to concentrate in information security. I’ve always been interested in privacy, secure system design, and open source software, but this week’s material gave me a stronger vocabulary for describing those interests. The CNSS definition, the CIA triad, and regulations like HIPAA all point toward the same goal: building systems that people can trust. That’s the part of cybersecurity that interests me the most, and I’m looking forward to building on these foundations throughout the rest of the course.</w:t>
      </w:r>
      <w:r>
        <w:br w:type="page"/>
      </w:r>
    </w:p>
    <w:p>
      <w:pPr>
        <w:pStyle w:val="Heading1"/>
        <w:spacing w:before="0" w:after="80"/>
        <w:rPr/>
      </w:pPr>
      <w:r>
        <w:rPr/>
        <w:t>References</w:t>
      </w:r>
    </w:p>
    <w:p>
      <w:pPr>
        <w:pStyle w:val="Normal"/>
        <w:rPr/>
      </w:pPr>
      <w:r>
        <w:rPr/>
        <w:t xml:space="preserve">Whitman, M. E., &amp; Mattord, H. J. (2022). </w:t>
      </w:r>
      <w:r>
        <w:rPr>
          <w:i/>
          <w:iCs/>
        </w:rPr>
        <w:t>Principles of information security (7th ed.)</w:t>
      </w:r>
      <w:r>
        <w:rPr/>
        <w:t>. Cengage Learning.</w:t>
      </w:r>
    </w:p>
    <w:p>
      <w:pPr>
        <w:pStyle w:val="Normal"/>
        <w:spacing w:before="0" w:after="160"/>
        <w:rPr/>
      </w:pPr>
      <w:r>
        <w:rPr/>
        <w:t>TestOut. (2024). Security Pro. https://w3.testout.com/</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323bd"/>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Application>LibreOffice/26.2.4.2$Linux_X86_64 LibreOffice_project/620$Build-2</Application>
  <AppVersion>15.0000</AppVersion>
  <Pages>4</Pages>
  <Words>618</Words>
  <Characters>3563</Characters>
  <CharactersWithSpaces>4163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2026-07-05T23:24:25Z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