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2-1 Activity: Data Breach Summary</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IT-253 Computer Systems Security</w:t>
      </w:r>
    </w:p>
    <w:p>
      <w:pPr>
        <w:pStyle w:val="Normal"/>
        <w:jc w:val="center"/>
        <w:rPr/>
      </w:pPr>
      <w:r>
        <w:rPr/>
        <w:t>Dr. Robert Rupocinski</w:t>
      </w:r>
    </w:p>
    <w:p>
      <w:pPr>
        <w:pStyle w:val="Normal"/>
        <w:spacing w:before="0" w:after="160"/>
        <w:jc w:val="center"/>
        <w:rPr/>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pPr>
      <w:r>
        <w:rPr/>
        <w:t>July 11, 2026</w:t>
      </w:r>
      <w:r>
        <w:br w:type="page"/>
      </w:r>
    </w:p>
    <w:p>
      <w:pPr>
        <w:pStyle w:val="Heading1"/>
        <w:spacing w:before="0" w:after="80"/>
        <w:rPr/>
      </w:pPr>
      <w:r>
        <w:rPr/>
        <w:t>How did the data breach occur?</w:t>
      </w:r>
    </w:p>
    <w:p>
      <w:pPr>
        <w:pStyle w:val="BodyText"/>
        <w:rPr/>
      </w:pPr>
      <w:r>
        <w:rPr/>
        <w:t>I chose the 2023 MGM Resorts cyberattack because it’s a good example of how attackers often target people using social engineering instead of technology. According to reports, the attackers gathered publicly available information about an employee and then called MGM’s IT help desk while pretending to be tha</w:t>
      </w:r>
      <w:r>
        <w:rPr/>
        <w:t>t</w:t>
      </w:r>
      <w:r>
        <w:rPr/>
        <w:t xml:space="preserve"> person. The help desk reset the employee’s credentials without fully verifying the caller’s identity, which gave the attackers access to MGM’s internal systems. Once inside, they deployed ransomware, stole customer information, and disrupted business operations for several days. MGM later estimated that the attack cost the company around $100 million and exposed personal information belonging to some customers </w:t>
      </w:r>
      <w:r>
        <w:rPr/>
        <w:t>(Grantham-Philips, 2023)</w:t>
      </w:r>
      <w:r>
        <w:rPr/>
        <w:t>.</w:t>
      </w:r>
    </w:p>
    <w:p>
      <w:pPr>
        <w:pStyle w:val="Heading1"/>
        <w:rPr/>
      </w:pPr>
      <w:r>
        <w:rPr/>
        <w:t>Which pillars of the CIA Triad were violated?</w:t>
      </w:r>
    </w:p>
    <w:p>
      <w:pPr>
        <w:pStyle w:val="BodyText"/>
        <w:rPr/>
      </w:pPr>
      <w:r>
        <w:rPr/>
        <w:t>This incident affected all three pillars of the CIA triad: confidentiality, integrity, and availability. Confidentiality was violated because unauthorized attackers gained access to sensitive customer information, including names, contact information, driver’s license numbers, passport numbers, and Social Security numbers. Integrity was also affected because the attackers gained administrative access and deployed ransomware, meaning MGM could no longer trust that its systems and data had remained unchanged. Availability experienced the most visible impact because many of MGM’s systems had to be taken offline, preventing customers from checking into rooms, using digital room keys, making reservations, or accessing some casino services until the company recovered.</w:t>
      </w:r>
    </w:p>
    <w:p>
      <w:pPr>
        <w:pStyle w:val="Heading1"/>
        <w:rPr/>
      </w:pPr>
      <w:r>
        <w:rPr/>
        <w:t>What security controls could have helped?</w:t>
      </w:r>
    </w:p>
    <w:p>
      <w:pPr>
        <w:pStyle w:val="BodyText"/>
        <w:rPr/>
      </w:pPr>
      <w:r>
        <w:rPr/>
        <w:t xml:space="preserve">One of the biggest lessons I took away from this incident is that security depends on more than just technical safeguards. The attackers succeeded because they convinced an employee to bypass an important </w:t>
      </w:r>
      <w:r>
        <w:rPr/>
        <w:t>identity verification</w:t>
      </w:r>
      <w:r>
        <w:rPr/>
        <w:t xml:space="preserve"> process, showing that people can be just as vulnerable as computer systems, if not more so. This reinforces one of the ideas from this module: organizations should build multiple layers of security instead of relying on a single defense, </w:t>
      </w:r>
      <w:r>
        <w:rPr/>
        <w:t xml:space="preserve">an approach that is </w:t>
      </w:r>
      <w:r>
        <w:rPr/>
        <w:t>consistent with</w:t>
      </w:r>
      <w:r>
        <w:rPr/>
        <w:t xml:space="preserve"> guidance published by the National Institute of Standards and Technology </w:t>
      </w:r>
      <w:r>
        <w:rPr/>
        <w:t>(NIST, n.d.)</w:t>
      </w:r>
      <w:r>
        <w:rPr/>
        <w:t>.</w:t>
      </w:r>
    </w:p>
    <w:p>
      <w:pPr>
        <w:pStyle w:val="BodyText"/>
        <w:rPr/>
      </w:pPr>
      <w:r>
        <w:rPr/>
        <w:t>An administrative control that could have helped is stronger security awareness training combined with stricter help desk procedures. Employees responsible for resetting passwords or unlocking accounts should be required to follow a documented identity verification process every time, even when a request appears legitimate. Consistent policies reduce the chance that an attacker can exploit human error through social engineering.</w:t>
      </w:r>
    </w:p>
    <w:p>
      <w:pPr>
        <w:pStyle w:val="BodyText"/>
        <w:rPr/>
      </w:pPr>
      <w:r>
        <w:rPr/>
        <w:t>Several technical controls could have added another layer of protection. Multi-factor authentication (MFA) would make it much more difficult for an attacker to use a compromised password by requiring an additional form of verification. Role-based access control and the Principle of Least Privilege could also limit the damage by preventing a compromised account from accessing systems that are unrelated to that employee’s job responsibilities.</w:t>
      </w:r>
    </w:p>
    <w:p>
      <w:pPr>
        <w:pStyle w:val="BodyText"/>
        <w:rPr/>
      </w:pPr>
      <w:r>
        <w:rPr/>
        <w:t>A physical control could include requiring employees to verify their identity in person with a company ID badge before making certain high-risk account changes, whenever practical. Although this would not prevent every attack, it demonstrates the idea of layered security discussed in this module. Administrative, technical, and physical controls each protect the same asset in different ways, making it much harder for an attacker to succeed if one layer fails.</w:t>
      </w:r>
      <w:r>
        <w:br w:type="page"/>
      </w:r>
    </w:p>
    <w:p>
      <w:pPr>
        <w:pStyle w:val="BodyText"/>
        <w:rPr/>
      </w:pPr>
      <w:r>
        <w:rPr/>
      </w:r>
    </w:p>
    <w:p>
      <w:pPr>
        <w:pStyle w:val="Heading1"/>
        <w:rPr/>
      </w:pPr>
      <w:r>
        <w:rPr/>
        <w:t>References</w:t>
      </w:r>
    </w:p>
    <w:p>
      <w:pPr>
        <w:sectPr>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pPr>
    </w:p>
    <w:p>
      <w:pPr>
        <w:pStyle w:val="Bibliography1"/>
        <w:rPr/>
      </w:pPr>
      <w:r>
        <w:rPr/>
        <w:t xml:space="preserve">Grantham-Philips, W. (2023, October 6). </w:t>
      </w:r>
      <w:r>
        <w:rPr>
          <w:i/>
        </w:rPr>
        <w:t>Data breach at MGM Resorts expected to cost casino giant $100 million</w:t>
      </w:r>
      <w:r>
        <w:rPr/>
        <w:t>. AP News. https://apnews.com/article/mgm-cyberattack-las-vegas-100-million-clorox-087726961b5366065b6231d1d223b4eb</w:t>
      </w:r>
    </w:p>
    <w:p>
      <w:pPr>
        <w:pStyle w:val="Bibliography1"/>
        <w:rPr/>
      </w:pPr>
      <w:r>
        <w:rPr/>
        <w:t>N</w:t>
      </w:r>
      <w:r>
        <w:rPr/>
        <w:t>ational Institute of Standards and Technology</w:t>
      </w:r>
      <w:r>
        <w:rPr/>
        <w:t xml:space="preserve">. (n.d.). </w:t>
      </w:r>
      <w:r>
        <w:rPr>
          <w:i/>
        </w:rPr>
        <w:t>Computer Security Resource Center</w:t>
      </w:r>
      <w:r>
        <w:rPr/>
        <w:t>. https://csrc.nist.gov/</w:t>
      </w:r>
    </w:p>
    <w:p>
      <w:pPr>
        <w:sectPr>
          <w:type w:val="continuous"/>
          <w:pgSz w:w="12240" w:h="15840"/>
          <w:pgMar w:left="1440" w:right="1440" w:gutter="0" w:header="720" w:top="1440" w:footer="0" w:bottom="1440"/>
          <w:formProt w:val="false"/>
          <w:textDirection w:val="lrTb"/>
          <w:docGrid w:type="default" w:linePitch="360" w:charSpace="0"/>
        </w:sectPr>
      </w:pPr>
    </w:p>
    <w:p>
      <w:pPr>
        <w:pStyle w:val="Normal"/>
        <w:widowControl/>
        <w:suppressAutoHyphens w:val="true"/>
        <w:bidi w:val="0"/>
        <w:spacing w:lineRule="auto" w:line="480" w:before="0" w:after="160"/>
        <w:jc w:val="start"/>
        <w:rPr/>
      </w:pPr>
      <w:r>
        <w:rPr/>
      </w:r>
    </w:p>
    <w:sectPr>
      <w:type w:val="continuous"/>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jc w:val="start"/>
    </w:pPr>
    <w:rPr>
      <w:rFonts w:ascii="Times New Roman" w:hAnsi="Times New Roman" w:eastAsia="Aptos" w:cs="Noto Sans Arabic"/>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w:color w:themeColor="accent1" w:themeShade="bf" w:val="0F4761"/>
      <w:sz w:val="32"/>
      <w:szCs w:val="32"/>
    </w:rPr>
  </w:style>
  <w:style w:type="character" w:styleId="Heading3Char">
    <w:name w:val="Heading 3 Char"/>
    <w:basedOn w:val="DefaultParagraphFont"/>
    <w:link w:val="Heading3"/>
    <w:qFormat/>
    <w:rPr>
      <w:rFonts w:eastAsia="Aptos" w:cs="Noto Sans Arabic"/>
      <w:color w:themeColor="accent1" w:themeShade="bf" w:val="0F4761"/>
      <w:sz w:val="28"/>
      <w:szCs w:val="28"/>
    </w:rPr>
  </w:style>
  <w:style w:type="character" w:styleId="Heading4Char">
    <w:name w:val="Heading 4 Char"/>
    <w:basedOn w:val="DefaultParagraphFont"/>
    <w:link w:val="Heading4"/>
    <w:qFormat/>
    <w:rPr>
      <w:rFonts w:eastAsia="Aptos" w:cs="Noto Sans Arabic"/>
      <w:i/>
      <w:iCs/>
      <w:color w:themeColor="accent1" w:themeShade="bf" w:val="0F4761"/>
    </w:rPr>
  </w:style>
  <w:style w:type="character" w:styleId="Heading5Char">
    <w:name w:val="Heading 5 Char"/>
    <w:basedOn w:val="DefaultParagraphFont"/>
    <w:link w:val="Heading5"/>
    <w:qFormat/>
    <w:rPr>
      <w:rFonts w:eastAsia="Aptos" w:cs="Noto Sans Arabic"/>
      <w:color w:themeColor="accent1" w:themeShade="bf" w:val="0F4761"/>
    </w:rPr>
  </w:style>
  <w:style w:type="character" w:styleId="Heading6Char">
    <w:name w:val="Heading 6 Char"/>
    <w:basedOn w:val="DefaultParagraphFont"/>
    <w:link w:val="Heading6"/>
    <w:qFormat/>
    <w:rPr>
      <w:rFonts w:eastAsia="Aptos" w:cs="Noto Sans Arabic"/>
      <w:i/>
      <w:iCs/>
      <w:color w:themeColor="dark1" w:themeTint="a6" w:val="595959"/>
    </w:rPr>
  </w:style>
  <w:style w:type="character" w:styleId="Heading7Char">
    <w:name w:val="Heading 7 Char"/>
    <w:basedOn w:val="DefaultParagraphFont"/>
    <w:link w:val="Heading7"/>
    <w:qFormat/>
    <w:rPr>
      <w:rFonts w:eastAsia="Aptos" w:cs="Noto Sans Arabic"/>
      <w:color w:themeColor="dark1" w:themeTint="a6" w:val="595959"/>
    </w:rPr>
  </w:style>
  <w:style w:type="character" w:styleId="Heading8Char">
    <w:name w:val="Heading 8 Char"/>
    <w:basedOn w:val="DefaultParagraphFont"/>
    <w:link w:val="Heading8"/>
    <w:qFormat/>
    <w:rPr>
      <w:rFonts w:eastAsia="Aptos" w:cs="Noto Sans Arabic"/>
      <w:i/>
      <w:iCs/>
      <w:color w:themeColor="dark1" w:themeTint="d8" w:val="272727"/>
    </w:rPr>
  </w:style>
  <w:style w:type="character" w:styleId="Heading9Char">
    <w:name w:val="Heading 9 Char"/>
    <w:basedOn w:val="DefaultParagraphFont"/>
    <w:link w:val="Heading9"/>
    <w:qFormat/>
    <w:rPr>
      <w:rFonts w:eastAsia="Aptos" w:cs="Noto Sans Arabic"/>
      <w:color w:themeColor="dark1" w:themeTint="d8" w:val="272727"/>
    </w:rPr>
  </w:style>
  <w:style w:type="character" w:styleId="TitleChar">
    <w:name w:val="Title Char"/>
    <w:basedOn w:val="DefaultParagraphFont"/>
    <w:link w:val="Title"/>
    <w:qFormat/>
    <w:rPr>
      <w:rFonts w:ascii="Aptos Display" w:hAnsi="Aptos Display" w:eastAsia="Aptos" w:cs="Noto Sans Arabic"/>
      <w:spacing w:val="-10"/>
      <w:kern w:val="2"/>
      <w:sz w:val="56"/>
      <w:szCs w:val="56"/>
    </w:rPr>
  </w:style>
  <w:style w:type="character" w:styleId="SubtitleChar">
    <w:name w:val="Subtitle Char"/>
    <w:basedOn w:val="DefaultParagraphFont"/>
    <w:link w:val="Subtitle"/>
    <w:qFormat/>
    <w:rPr>
      <w:rFonts w:eastAsia="Aptos"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rFonts w:ascii="Times New Roman" w:hAnsi="Times New Roman"/>
    </w:rPr>
  </w:style>
  <w:style w:type="character" w:styleId="FooterChar">
    <w:name w:val="Footer Char"/>
    <w:basedOn w:val="DefaultParagraphFont"/>
    <w:link w:val="Footer"/>
    <w:qFormat/>
    <w:rPr>
      <w:rFonts w:ascii="Times New Roman" w:hAnsi="Times New Roman"/>
    </w:rPr>
  </w:style>
  <w:style w:type="character" w:styleId="Hyperlink">
    <w:name w:val="Hyperlink"/>
    <w:basedOn w:val="DefaultParagraphFont"/>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color w:themeColor="dark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itleChar"/>
    <w:qFormat/>
    <w:pPr/>
    <w:rPr>
      <w:rFonts w:eastAsia="Apto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qFormat/>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Bibliography1">
    <w:name w:val="Bibliography 1"/>
    <w:basedOn w:val="Index"/>
    <w:qFormat/>
    <w:pPr>
      <w:tabs>
        <w:tab w:val="clear" w:pos="720"/>
      </w:tabs>
      <w:spacing w:lineRule="atLeast" w:line="480" w:before="0" w:after="0"/>
      <w:ind w:hanging="720" w:start="7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363</TotalTime>
  <Application>LibreOffice/26.2.4.2$Linux_X86_64 LibreOffice_project/620$Build-2</Application>
  <AppVersion>15.0000</AppVersion>
  <Pages>5</Pages>
  <Words>572</Words>
  <Characters>3504</Characters>
  <CharactersWithSpaces>4056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2026-07-11T17:39:51Z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id="MMpgMFUT"/&gt;&lt;style id="http://www.zotero.org/styles/apa" locale="en-US" hasBibliography="1" bibliographyStyleHasBeenSet="1"/&gt;&lt;prefs&gt;&lt;pref name="fieldType" value="ReferenceMark"/&gt;&lt;/prefs&gt;&lt;/data&gt;</vt:lpwstr>
  </property>
</Properties>
</file>