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Rapport Statistique Annuel</w:t>
      </w:r>
    </w:p>
    <w:p>
      <w:r>
        <w:rPr>
          <w:i/>
          <w:iCs/>
        </w:rPr>
        <w:t xml:space="preserve">Document contenant 5 tableaux complexes avec cellules fusionnées, en-têtes multi-niveaux et mise en forme conditionnelle.</w:t>
      </w:r>
    </w:p>
    <w:p>
      <w:r>
        <w:t xml:space="preserve"/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TABLEAU 1 : DONNÉES STATISTIQUES</w:t>
            </w:r>
          </w:p>
        </w:tc>
      </w:tr>
      <w:tr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Région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Moy.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268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67.0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67.0%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280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70.0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70.0%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17.0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17.0%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310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77.5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77.5%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127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213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236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59.0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59.0%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157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39.3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39.3%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242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60.5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60.5%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50.0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50.0%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262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65.5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65.5%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118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64.0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64.0%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267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66.8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66.8%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174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313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78.3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78.3%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117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139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34.8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34.8%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45.8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45.8%</w:t>
            </w:r>
          </w:p>
        </w:tc>
      </w:tr>
      <w:tr>
        <w:tc>
          <w:tcPr>
            <w:gridSpan w:val="5"/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TOTAUX GÉNÉRAUX :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7766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4757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5790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TABLEAU 2 : DONNÉES STATISTIQUES</w:t>
            </w:r>
          </w:p>
        </w:tc>
      </w:tr>
      <w:tr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Région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Moy.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218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164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41.0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41.0%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63.0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63.0%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143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175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162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40.5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40.5%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25.3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25.3%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267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66.8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66.8%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155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38.8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38.8%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177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44.3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44.3%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245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61.3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61.3%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212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244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61.0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61.0%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63.8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63.8%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172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64.8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64.8%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63.3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63.3%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45.8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45.8%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215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47.3%</w:t>
            </w:r>
          </w:p>
        </w:tc>
      </w:tr>
      <w:tr>
        <w:tc>
          <w:tcPr>
            <w:gridSpan w:val="5"/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TOTAUX GÉNÉRAUX :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888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3572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8731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TABLEAU 3 : DONNÉES STATISTIQUES</w:t>
            </w:r>
          </w:p>
        </w:tc>
      </w:tr>
      <w:tr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Région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Moy.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27.0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27.0%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164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41.0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41.0%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148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37.0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37.0%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214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138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34.5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34.5%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219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215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321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80.3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80.3%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125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232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45.8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45.8%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283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70.8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70.8%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344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86.0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86.0%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248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139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34.8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34.8%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169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127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139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34.8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34.8%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161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40.3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40.3%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48.8%</w:t>
            </w:r>
          </w:p>
        </w:tc>
      </w:tr>
      <w:tr>
        <w:tc>
          <w:tcPr>
            <w:gridSpan w:val="5"/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TOTAUX GÉNÉRAUX :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8963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57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3719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TABLEAU 4 : DONNÉES STATISTIQUES</w:t>
            </w:r>
          </w:p>
        </w:tc>
      </w:tr>
      <w:tr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Région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Moy.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161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40.3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40.3%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169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213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154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38.5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38.5%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242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60.5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60.5%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174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119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75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18.8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18.8%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260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65.0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65.0%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63.8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63.8%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85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21.3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21.3%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217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98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24.5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24.5%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249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242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60.5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60.5%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50.0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50.0%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92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23.0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23.0%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159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39.8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39.8%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121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30.3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30.3%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143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48.0%</w:t>
            </w:r>
          </w:p>
        </w:tc>
      </w:tr>
      <w:tr>
        <w:tc>
          <w:tcPr>
            <w:gridSpan w:val="5"/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TOTAUX GÉNÉRAUX :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7004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6110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1724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  <w:shd w:fill="1F4E79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TABLEAU 5 : DONNÉES STATISTIQUES</w:t>
            </w:r>
          </w:p>
        </w:tc>
      </w:tr>
      <w:tr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Région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Moy.</w:t>
            </w:r>
          </w:p>
        </w:tc>
        <w:tc>
          <w:tcPr>
            <w:shd w:fill="D9E2F3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143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45.3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45.3%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263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65.8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65.8%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63.5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63.5%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46.5%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262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65.5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65.5%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73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175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289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72.3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72.3%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150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37.5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37.5%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147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36.8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36.8%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236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59.0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59.0%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83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244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61.0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61.0%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47.5%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275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68.8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68.8%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182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45.5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45.5%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211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48.3%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Gafsa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219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Kasserine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Tunis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165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41.3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41.3%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Sfax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127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31.8%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Sousse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96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248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62.0%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Kairouan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123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30.8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30.8%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Bizerte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76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207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51.8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51.8%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Gabès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57</w:t>
            </w:r>
          </w:p>
        </w:tc>
        <w:tc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164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41.0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41.0%</w:t>
            </w:r>
          </w:p>
        </w:tc>
      </w:tr>
      <w:tr>
        <w:tc>
          <w:tcPr>
            <w:gridSpan w:val="5"/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TOTAUX GÉNÉRAUX :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7045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1194</w:t>
            </w:r>
          </w:p>
        </w:tc>
        <w:tc>
          <w:tcPr>
            <w:shd w:fill="FFE699" w:color="auto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6368</w:t>
            </w:r>
          </w:p>
        </w:tc>
      </w:tr>
    </w:tbl>
    <w:p>
      <w:r>
        <w:t xml:space="preserve"/>
      </w:r>
    </w:p>
    <w:sectPr>
      <w:pgSz w:w="16838" w:h="11906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2026-07-15T10:46:01.798Z</dcterms:created>
  <dcterms:modified xsi:type="dcterms:W3CDTF">2026-07-15T10:46:01.798Z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