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170655"/>
          <w:sz w:val="30"/>
          <w:szCs w:val="30"/>
        </w:rPr>
        <w:t xml:space="preserve">OKAPI LOGISTICS</w:t>
      </w:r>
    </w:p>
    <w:p>
      <w:pPr>
        <w:pBdr>
          <w:bottom w:val="single" w:color="E47911" w:sz="18"/>
        </w:pBdr>
        <w:spacing w:after="60" w:before="80"/>
        <w:jc w:val="center"/>
      </w:pPr>
      <w:r>
        <w:rPr>
          <w:sz w:val="2"/>
          <w:szCs w:val="2"/>
        </w:rPr>
        <w:t xml:space="preserve"> </w:t>
      </w:r>
    </w:p>
    <w:p>
      <w:pPr>
        <w:spacing w:before="600"/>
        <w:jc w:val="center"/>
      </w:pPr>
      <w:r>
        <w:rPr>
          <w:b/>
          <w:bCs/>
          <w:color w:val="2E3138"/>
          <w:sz w:val="46"/>
          <w:szCs w:val="46"/>
        </w:rPr>
        <w:t xml:space="preserve">Manuel de l’administration DAF &amp; super-administrateur</w:t>
      </w:r>
    </w:p>
    <w:p>
      <w:pPr>
        <w:spacing w:before="200"/>
        <w:jc w:val="center"/>
      </w:pPr>
      <w:r>
        <w:rPr>
          <w:color w:val="6A6976"/>
          <w:sz w:val="24"/>
          <w:szCs w:val="24"/>
        </w:rPr>
        <w:t xml:space="preserve">Pilotage, tarifs, configuration et reporting multi-pays</w:t>
      </w:r>
    </w:p>
    <w:p>
      <w:pPr>
        <w:spacing w:before="1600"/>
        <w:jc w:val="center"/>
      </w:pPr>
      <w:r>
        <w:rPr>
          <w:color w:val="6A6976"/>
          <w:sz w:val="20"/>
          <w:szCs w:val="20"/>
        </w:rPr>
        <w:t xml:space="preserve">Version 1.0 — 15 septembre 2026</w:t>
      </w:r>
    </w:p>
    <w:p>
      <w:pPr>
        <w:spacing w:before="60"/>
        <w:jc w:val="center"/>
      </w:pPr>
      <w:r>
        <w:rPr>
          <w:i/>
          <w:iCs/>
          <w:color w:val="E47911"/>
          <w:sz w:val="18"/>
          <w:szCs w:val="18"/>
        </w:rPr>
        <w:t xml:space="preserve">« Le futur du commerce africain »</w:t>
      </w:r>
    </w:p>
    <w:p>
      <w:pPr>
        <w:pageBreakBefore/>
      </w:pPr>
    </w:p>
    <w:p>
      <w:pPr>
        <w:pStyle w:val="Heading1"/>
        <w:spacing w:after="140" w:before="400"/>
      </w:pPr>
      <w:r>
        <w:t xml:space="preserve">07 — Manuel de l'administration (DAF et super-administrateur)</w:t>
      </w:r>
    </w:p>
    <w:p>
      <w:pPr>
        <w:spacing w:after="160"/>
      </w:pPr>
      <w:r>
        <w:t xml:space="preserve">Version 1.0 — 2026-09-03 Public : Direction Administrative et Financière (DAF), super-administrateur, DPO. Complète le [manuel de l'agent](06-manuel-agent.md) et le [manuel d'installation](05-manuel-installation-configuration.md).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Sommaire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[Rôles et périmètres](#1-roles-et-perimetres)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[Connexion et sécurité du compte](#2-connexion-et-securite-du-compte)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[Pilotage : tableau de bord et rapports](#3-pilotage--tableau-de-bord-et-rapports)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[Suivi financier et contrôle de cohérence](#4-suivi-financier-et-controle-de-coherence)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[Gérer les tarifs (prix/kg)](#5-gerer-les-tarifs-prixkg)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[Gérer les taux de change](#6-gerer-les-taux-de-change)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[Gérer les utilisateurs et les droits](#7-gerer-les-utilisateurs-et-les-droits)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[Journal d'audit](#8-journal-daudit)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[Configuration (identité visuelle, textes, référentiel, notifications)](#9-configuration)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[Facturation et pièces comptables](#10-facturation-et-pieces-comptables)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[RGPD : consentements, rétention, droits des personnes](#11-rgpd)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[Checklist d'exploitation](#12-checklist-dexploitation)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[Aide](#13-aide)</w:t>
      </w:r>
    </w:p>
    <w:p>
      <w:pPr>
        <w:pBdr>
          <w:left w:val="single" w:color="E47911" w:sz="24"/>
        </w:pBdr>
        <w:shd w:fill="FFF3E6" w:val="clear"/>
        <w:spacing w:after="200" w:before="100"/>
        <w:ind w:left="200"/>
      </w:pPr>
      <w:r>
        <w:rPr>
          <w:b/>
          <w:bCs/>
        </w:rPr>
        <w:t xml:space="preserve">Note.</w:t>
      </w:r>
      <w:r>
        <w:t xml:space="preserve"> Certains écrans du back-office sont livrés en version MVP ; les fonctions non encore dotées d'un écran sont accessibles par l'</w:t>
      </w:r>
      <w:r>
        <w:rPr>
          <w:b/>
          <w:bCs/>
        </w:rPr>
        <w:t xml:space="preserve">API REST</w:t>
      </w:r>
      <w:r>
        <w:t xml:space="preserve">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/api/v1/...</w:t>
      </w:r>
      <w:r>
        <w:t xml:space="preserve">. Chaque section indique l'écran ou l'endpoint concerné.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1. Rôles et périmètres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qu'il peut faire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Périmètre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Agent fret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AGENT_FRET</w:t>
            </w:r>
            <w:r>
              <w:t xml:space="preserve">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Enregistrer des colis, prendre la photo, encaisser, changer les statuts, imprimer.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 agence</w:t>
            </w:r>
            <w:r>
              <w:t xml:space="preserve"> obligatoire.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Administration / DAF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ADMIN_DAF</w:t>
            </w:r>
            <w:r>
              <w:t xml:space="preserve">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Tout consulter, rembourser un paiement, gérer les tarifs et les taux, exporter, lire le journal d'audit. </w:t>
            </w:r>
            <w:r>
              <w:rPr>
                <w:b/>
                <w:bCs/>
              </w:rPr>
              <w:t xml:space="preserve">Ne crée pas d'utilisateurs.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Multi-pays (peut être restreint à certains pays).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Super-administrateur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SUPER_ADMIN</w:t>
            </w:r>
            <w:r>
              <w:t xml:space="preserve">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Tout, dont la gestion des utilisateurs et des droits, la configuration (villes, pays, devises, tarifs, textes, identité visuelle) et les demandes RGPD.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Global.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Le </w:t>
      </w:r>
      <w:r>
        <w:rPr>
          <w:b/>
          <w:bCs/>
        </w:rPr>
        <w:t xml:space="preserve">périmètre de données</w:t>
      </w:r>
      <w:r>
        <w:t xml:space="preserve"> s'applique à toutes les listes et à tous les rapports : un DAF restreint à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BJ, CG</w:t>
      </w:r>
      <w:r>
        <w:t xml:space="preserve"> ne voit que les colis et paiements de ces pays. Les rôles sont </w:t>
      </w:r>
      <w:r>
        <w:rPr>
          <w:b/>
          <w:bCs/>
        </w:rPr>
        <w:t xml:space="preserve">cumulables</w:t>
      </w:r>
      <w:r>
        <w:t xml:space="preserve"> sur un même compte.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2. Connexion et sécurité du compte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</w:t>
      </w:r>
      <w:r>
        <w:rPr>
          <w:b/>
          <w:bCs/>
        </w:rPr>
        <w:t xml:space="preserve">vérification en deux étapes (MFA)</w:t>
      </w:r>
      <w:r>
        <w:t xml:space="preserve"> est </w:t>
      </w:r>
      <w:r>
        <w:rPr>
          <w:b/>
          <w:bCs/>
        </w:rPr>
        <w:t xml:space="preserve">obligatoire</w:t>
      </w:r>
      <w:r>
        <w:t xml:space="preserve"> pour les rôles DAF et</w:t>
      </w:r>
    </w:p>
    <w:p>
      <w:pPr>
        <w:spacing w:after="160"/>
      </w:pPr>
      <w:r>
        <w:t xml:space="preserve">  super-administrateur.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Activation : dans votre profil, lancer l'enrôlement — un secret et un QR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otpauth://</w:t>
      </w:r>
    </w:p>
    <w:p>
      <w:pPr>
        <w:spacing w:after="160"/>
      </w:pPr>
      <w:r>
        <w:t xml:space="preserve">  sont fournis ; scannez-les dans une application d'authentification (Google   Authenticator, Authy, FreeOTP…) puis validez avec un code à 6 chiffres.   </w:t>
      </w:r>
      <w:r>
        <w:rPr>
          <w:i/>
          <w:iCs/>
        </w:rPr>
        <w:t xml:space="preserve">(API : `POST /api/v1/auth/mfa/enroll` puis `POST /api/v1/auth/mfa/verify`.)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Jetons : la session d'accès dure 15 minutes et se renouvelle automatiquement ; le jeton</w:t>
      </w:r>
    </w:p>
    <w:p>
      <w:pPr>
        <w:spacing w:after="160"/>
      </w:pPr>
      <w:r>
        <w:t xml:space="preserve">  de rafraîchissement dure 30 jours et est </w:t>
      </w:r>
      <w:r>
        <w:rPr>
          <w:b/>
          <w:bCs/>
        </w:rPr>
        <w:t xml:space="preserve">révoqué</w:t>
      </w:r>
      <w:r>
        <w:t xml:space="preserve"> à la déconnexion.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Verrouillage : 5 échecs de mot de passe → blocage 15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 partagez jamais</w:t>
      </w:r>
      <w:r>
        <w:t xml:space="preserve"> un compte. Créez un compte nominatif par personne.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3. Pilotage : tableau de bord et rapports</w:t>
      </w:r>
    </w:p>
    <w:p>
      <w:pPr>
        <w:pStyle w:val="Heading3"/>
        <w:spacing w:after="140" w:before="260"/>
      </w:pPr>
      <w:r>
        <w:t xml:space="preserve">Tableau de bord (écran d'accueil)</w:t>
      </w:r>
    </w:p>
    <w:p>
      <w:pPr>
        <w:spacing w:after="160"/>
      </w:pPr>
      <w:r>
        <w:t xml:space="preserve">Indicateurs du périmètre : colis du jour, colis en transit, colis arrivés à retirer, colis impayés, et la liste des derniers colis.</w:t>
      </w:r>
    </w:p>
    <w:p>
      <w:pPr>
        <w:pStyle w:val="Heading3"/>
        <w:spacing w:after="140" w:before="260"/>
      </w:pPr>
      <w:r>
        <w:t xml:space="preserve">Rapports (écran « Rapports »)</w:t>
      </w:r>
    </w:p>
    <w:p>
      <w:pPr>
        <w:spacing w:after="160"/>
      </w:pPr>
      <w:r>
        <w:t xml:space="preserve">Version MVP : </w:t>
      </w:r>
      <w:r>
        <w:rPr>
          <w:b/>
          <w:bCs/>
        </w:rPr>
        <w:t xml:space="preserve">colis impayés / en retard</w:t>
      </w:r>
      <w:r>
        <w:t xml:space="preserve"> (statut « Arrivé » ou « En transit » + paiement « Impayé » ou « Partiel »), avec le solde par colis.</w:t>
      </w:r>
    </w:p>
    <w:p>
      <w:pPr>
        <w:pStyle w:val="Heading3"/>
        <w:spacing w:after="140" w:before="260"/>
      </w:pPr>
      <w:r>
        <w:t xml:space="preserve">Roadmap reporting (prochaine brique)</w:t>
      </w:r>
    </w:p>
    <w:p>
      <w:pPr>
        <w:spacing w:after="160"/>
      </w:pPr>
      <w:r>
        <w:t xml:space="preserve">Les fonctions suivantes sont </w:t>
      </w:r>
      <w:r>
        <w:rPr>
          <w:b/>
          <w:bCs/>
        </w:rPr>
        <w:t xml:space="preserve">spécifiées</w:t>
      </w:r>
      <w:r>
        <w:t xml:space="preserve"> (livrable 04, écrans W-ADM-01/02) et s'appuient sur des vues d'agrégat déjà présentes en base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mv_revenue_by_currency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v_parcel_financials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v_unpaid_on_transit</w:t>
      </w:r>
      <w:r>
        <w:t xml:space="preserve">)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vue consolidée multi-pays (volumes, CA, taux d'impayés, délai moyen par corridor)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bascule d'affichage </w:t>
      </w:r>
      <w:r>
        <w:rPr>
          <w:b/>
          <w:bCs/>
        </w:rPr>
        <w:t xml:space="preserve">par devise d'origine</w:t>
      </w:r>
      <w:r>
        <w:t xml:space="preserve"> ↔ **tout consolidé en devise de</w:t>
      </w:r>
    </w:p>
    <w:p>
      <w:pPr>
        <w:spacing w:after="160"/>
      </w:pPr>
      <w:r>
        <w:t xml:space="preserve">  référence (USD)**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exports </w:t>
      </w:r>
      <w:r>
        <w:rPr>
          <w:b/>
          <w:bCs/>
        </w:rPr>
        <w:t xml:space="preserve">Excel (.xlsx)</w:t>
      </w:r>
      <w:r>
        <w:t xml:space="preserve">, </w:t>
      </w:r>
      <w:r>
        <w:rPr>
          <w:b/>
          <w:bCs/>
        </w:rPr>
        <w:t xml:space="preserve">PDF</w:t>
      </w:r>
      <w:r>
        <w:t xml:space="preserve">, et </w:t>
      </w:r>
      <w:r>
        <w:rPr>
          <w:b/>
          <w:bCs/>
        </w:rPr>
        <w:t xml:space="preserve">CSV comptable</w:t>
      </w:r>
      <w:r>
        <w:t xml:space="preserve"> (date, pièce, colis, devise</w:t>
      </w:r>
    </w:p>
    <w:p>
      <w:pPr>
        <w:spacing w:after="160"/>
      </w:pPr>
      <w:r>
        <w:t xml:space="preserve">  d'origine, montant, contre-valeur USD, taux)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filtres pays / ville / agence / statut / devise / mode / période / agent.</w:t>
      </w:r>
    </w:p>
    <w:p>
      <w:pPr>
        <w:spacing w:after="160"/>
      </w:pPr>
      <w:r>
        <w:t xml:space="preserve">En attendant l'écran, ces données sont interrogeables en SQL sur les vues ci-dessus ou via les endpoints de liste filtrée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GET /api/v1/parcels?...</w:t>
      </w:r>
      <w:r>
        <w:t xml:space="preserve">).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4. Suivi financier et contrôle de cohérence</w:t>
      </w:r>
    </w:p>
    <w:p>
      <w:pPr>
        <w:pStyle w:val="Heading3"/>
        <w:spacing w:after="140" w:before="260"/>
      </w:pPr>
      <w:r>
        <w:t xml:space="preserve">Statut de paiement et solde</w:t>
      </w:r>
    </w:p>
    <w:p>
      <w:pPr>
        <w:spacing w:after="160"/>
      </w:pPr>
      <w:r>
        <w:t xml:space="preserve">Ils sont </w:t>
      </w:r>
      <w:r>
        <w:rPr>
          <w:b/>
          <w:bCs/>
        </w:rPr>
        <w:t xml:space="preserve">calculés automatiquement</w:t>
      </w:r>
      <w:r>
        <w:t xml:space="preserve"> à partir des paiements </w:t>
      </w:r>
      <w:r>
        <w:rPr>
          <w:b/>
          <w:bCs/>
        </w:rPr>
        <w:t xml:space="preserve">confirmés</w:t>
      </w:r>
      <w:r>
        <w:t xml:space="preserve"> (les paiements « en attente » ne comptent pas), dans la devise de facturation du colis. Ni l'agent ni vous ne les saisissez.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Impayé</w:t>
      </w:r>
      <w:r>
        <w:t xml:space="preserve"> : aucun paiement confirmé.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Partiel</w:t>
      </w:r>
      <w:r>
        <w:t xml:space="preserve"> : payé mais solde &gt; 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5451B"/>
          <w:shd w:fill="F4F0FF" w:val="clear"/>
        </w:rPr>
        <w:t xml:space="preserve">Payé</w:t>
      </w:r>
      <w:r>
        <w:t xml:space="preserve"> : payé ≥ dû.</w:t>
      </w:r>
    </w:p>
    <w:p>
      <w:pPr>
        <w:pStyle w:val="Heading3"/>
        <w:spacing w:after="140" w:before="260"/>
      </w:pPr>
      <w:r>
        <w:t xml:space="preserve">Contrôle de cohérence (objectif : 0 écart)</w:t>
      </w:r>
    </w:p>
    <w:p>
      <w:pPr>
        <w:spacing w:after="160"/>
      </w:pPr>
      <w:r>
        <w:t xml:space="preserve">Une vue compare la valeur affichée et la valeur recalculée :</w:t>
      </w:r>
    </w:p>
    <w:p>
      <w:pPr>
        <w:shd w:fill="1E1D2A" w:val="clear"/>
        <w:spacing w:after="160" w:before="80"/>
      </w:pPr>
      <w:r>
        <w:rPr>
          <w:rFonts w:ascii="Consolas" w:cs="Consolas" w:eastAsia="Consolas" w:hAnsi="Consolas"/>
          <w:color w:val="E9E8F0"/>
          <w:sz w:val="18"/>
          <w:szCs w:val="18"/>
        </w:rPr>
        <w:t xml:space="preserve">SELECT id, tracking_number, amount_paid_stored, amount_paid_calc, payment_status_calc
FROM v_parcel_financials
WHERE amount_paid_stored &lt;&gt; amount_paid_calc;</w:t>
      </w:r>
    </w:p>
    <w:p>
      <w:pPr>
        <w:spacing w:after="160"/>
      </w:pPr>
      <w:r>
        <w:t xml:space="preserve">Le résultat doit être </w:t>
      </w:r>
      <w:r>
        <w:rPr>
          <w:b/>
          <w:bCs/>
        </w:rPr>
        <w:t xml:space="preserve">vide</w:t>
      </w:r>
      <w:r>
        <w:t xml:space="preserve">. À défaut, relancer le recalcul (une nouvelle écriture de paiement le déclenche ; un utilitaire de re-synchronisation peut être ajouté).</w:t>
      </w:r>
    </w:p>
    <w:p>
      <w:pPr>
        <w:pStyle w:val="Heading3"/>
        <w:spacing w:after="140" w:before="260"/>
      </w:pPr>
      <w:r>
        <w:t xml:space="preserve">Remboursement d'un paiement</w:t>
      </w:r>
    </w:p>
    <w:p>
      <w:pPr>
        <w:spacing w:after="160"/>
      </w:pPr>
      <w:r>
        <w:t xml:space="preserve">Réservé DAF / super-administrateur. Depuis la fiche du colis, onglet Paiements, sur un paiement </w:t>
      </w:r>
      <w:r>
        <w:rPr>
          <w:b/>
          <w:bCs/>
        </w:rPr>
        <w:t xml:space="preserve">confirmé</w:t>
      </w:r>
      <w:r>
        <w:t xml:space="preserve">. </w:t>
      </w:r>
      <w:r>
        <w:rPr>
          <w:i/>
          <w:iCs/>
        </w:rPr>
        <w:t xml:space="preserve">(API : `POST /api/v1/payments/:id/refund` avec `{ amount?, reason }` — motif obligatoire.)</w:t>
      </w:r>
      <w:r>
        <w:t xml:space="preserve"> Effets : création d'un paiement lié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REMBOURSE</w:t>
      </w:r>
      <w:r>
        <w:t xml:space="preserve">, recalcul du solde, génération d'un </w:t>
      </w:r>
      <w:r>
        <w:rPr>
          <w:b/>
          <w:bCs/>
        </w:rPr>
        <w:t xml:space="preserve">avoir</w:t>
      </w:r>
      <w:r>
        <w:t xml:space="preserve"> numéroté.</w:t>
      </w:r>
    </w:p>
    <w:p>
      <w:pPr>
        <w:pStyle w:val="Heading3"/>
        <w:spacing w:after="140" w:before="260"/>
      </w:pPr>
      <w:r>
        <w:t xml:space="preserve">Devise de facturation</w:t>
      </w:r>
    </w:p>
    <w:p>
      <w:pPr>
        <w:spacing w:after="160"/>
      </w:pPr>
      <w:r>
        <w:t xml:space="preserve">Elle est </w:t>
      </w:r>
      <w:r>
        <w:rPr>
          <w:b/>
          <w:bCs/>
        </w:rPr>
        <w:t xml:space="preserve">figée</w:t>
      </w:r>
      <w:r>
        <w:t xml:space="preserve"> dès le premier paiement confirmé et ne peut plus changer.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5. Gérer les tarifs (prix/kg)</w:t>
      </w:r>
    </w:p>
    <w:p>
      <w:pPr>
        <w:spacing w:after="160"/>
      </w:pPr>
      <w:r>
        <w:t xml:space="preserve">Écran </w:t>
      </w:r>
      <w:r>
        <w:rPr>
          <w:b/>
          <w:bCs/>
        </w:rPr>
        <w:t xml:space="preserve">« Tarifs (prix/kg) »</w:t>
      </w:r>
      <w:r>
        <w:t xml:space="preserve"> (permission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tariff:read</w:t>
      </w:r>
      <w:r>
        <w:t xml:space="preserve"> /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tariff:write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liste montre, pour chaque destination et chaque mode, le </w:t>
      </w:r>
      <w:r>
        <w:rPr>
          <w:b/>
          <w:bCs/>
        </w:rPr>
        <w:t xml:space="preserve">prix par kg</w:t>
      </w:r>
      <w:r>
        <w:t xml:space="preserve"> en vigueur,</w:t>
      </w:r>
    </w:p>
    <w:p>
      <w:pPr>
        <w:spacing w:after="160"/>
      </w:pPr>
      <w:r>
        <w:t xml:space="preserve">  les frais fixes, le minimum, la période de validité.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Créer un tarif</w:t>
      </w:r>
      <w:r>
        <w:t xml:space="preserve"> : choisir la destination, le mode, la devise, le prix/kg (et</w:t>
      </w:r>
    </w:p>
    <w:p>
      <w:pPr>
        <w:spacing w:after="160"/>
      </w:pPr>
      <w:r>
        <w:t xml:space="preserve">  éventuellement frais fixes, minimum). L'enregistrement crée une </w:t>
      </w:r>
      <w:r>
        <w:rPr>
          <w:b/>
          <w:bCs/>
        </w:rPr>
        <w:t xml:space="preserve">nouvelle version   datée</w:t>
      </w:r>
      <w:r>
        <w:t xml:space="preserve"> et </w:t>
      </w:r>
      <w:r>
        <w:rPr>
          <w:b/>
          <w:bCs/>
        </w:rPr>
        <w:t xml:space="preserve">clôt automatiquement</w:t>
      </w:r>
      <w:r>
        <w:t xml:space="preserve"> la version précédente à la veille de la nouvelle   date d'effet. Deux tarifs actifs ne peuvent pas se chevaucher (garanti par la base).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Toute modification est </w:t>
      </w:r>
      <w:r>
        <w:rPr>
          <w:b/>
          <w:bCs/>
        </w:rPr>
        <w:t xml:space="preserve">journalisée</w:t>
      </w:r>
      <w:r>
        <w:t xml:space="preserve">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CONFIG_CHANGE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</w:t>
      </w:r>
      <w:r>
        <w:rPr>
          <w:b/>
          <w:bCs/>
        </w:rPr>
        <w:t xml:space="preserve">fourchette d'ajustement agent</w:t>
      </w:r>
      <w:r>
        <w:t xml:space="preserve"> (par défaut −15 % / +15 %) est portée par le</w:t>
      </w:r>
    </w:p>
    <w:p>
      <w:pPr>
        <w:spacing w:after="160"/>
      </w:pPr>
      <w:r>
        <w:t xml:space="preserve">  tarif ; au-delà, l'agent doit obtenir une dérogation.</w:t>
      </w:r>
    </w:p>
    <w:p>
      <w:pPr>
        <w:pBdr>
          <w:left w:val="single" w:color="E47911" w:sz="24"/>
        </w:pBdr>
        <w:shd w:fill="FFF3E6" w:val="clear"/>
        <w:spacing w:after="200" w:before="100"/>
        <w:ind w:left="200"/>
      </w:pPr>
      <w:r>
        <w:rPr>
          <w:b/>
          <w:bCs/>
        </w:rPr>
        <w:t xml:space="preserve">Avant la mise en production</w:t>
      </w:r>
      <w:r>
        <w:t xml:space="preserve">, saisir les grilles tarifaires réelles par corridor et par mode (les valeurs du jeu de données initial sont des exemples — point O-3).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6. Gérer les taux de change</w:t>
      </w:r>
    </w:p>
    <w:p>
      <w:pPr>
        <w:spacing w:after="160"/>
      </w:pPr>
      <w:r>
        <w:t xml:space="preserve">Écran </w:t>
      </w:r>
      <w:r>
        <w:rPr>
          <w:b/>
          <w:bCs/>
        </w:rPr>
        <w:t xml:space="preserve">« Taux de change »</w:t>
      </w:r>
      <w:r>
        <w:t xml:space="preserve"> (permission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fx:read</w:t>
      </w:r>
      <w:r>
        <w:t xml:space="preserve"> /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fx:write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Devise de référence</w:t>
      </w:r>
      <w:r>
        <w:t xml:space="preserve"> : USD (consolidation). Chaque transaction financière conserve</w:t>
      </w:r>
    </w:p>
    <w:p>
      <w:pPr>
        <w:spacing w:after="160"/>
      </w:pPr>
      <w:r>
        <w:t xml:space="preserve">  sa devise d'origine </w:t>
      </w:r>
      <w:r>
        <w:rPr>
          <w:b/>
          <w:bCs/>
        </w:rPr>
        <w:t xml:space="preserve">et</w:t>
      </w:r>
      <w:r>
        <w:t xml:space="preserve"> sa contre-valeur en USD, avec le taux figé.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Synchronisation automatique</w:t>
      </w:r>
      <w:r>
        <w:t xml:space="preserve"> : exchangerate.host, au démarrage puis toutes les</w:t>
      </w:r>
    </w:p>
    <w:p>
      <w:pPr>
        <w:spacing w:after="160"/>
      </w:pPr>
      <w:r>
        <w:t xml:space="preserve">  6 heures. Bouton </w:t>
      </w:r>
      <w:r>
        <w:rPr>
          <w:b/>
          <w:bCs/>
        </w:rPr>
        <w:t xml:space="preserve">« Synchroniser maintenant »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Saisie manuelle</w:t>
      </w:r>
      <w:r>
        <w:t xml:space="preserve"> : indiquez la devise, le taux (« 1 unité = ? USD ») et une note.</w:t>
      </w:r>
    </w:p>
    <w:p>
      <w:pPr>
        <w:spacing w:after="160"/>
      </w:pPr>
      <w:r>
        <w:t xml:space="preserve">  Un taux </w:t>
      </w:r>
      <w:r>
        <w:rPr>
          <w:b/>
          <w:bCs/>
        </w:rPr>
        <w:t xml:space="preserve">manuel récent prévaut</w:t>
      </w:r>
      <w:r>
        <w:t xml:space="preserve"> sur la synchro automatique.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Historique</w:t>
      </w:r>
      <w:r>
        <w:t xml:space="preserve"> : aucun taux passé n'est écrasé ; une modification crée une nouvelle</w:t>
      </w:r>
    </w:p>
    <w:p>
      <w:pPr>
        <w:spacing w:after="160"/>
      </w:pPr>
      <w:r>
        <w:t xml:space="preserve">  ligne datée. </w:t>
      </w:r>
      <w:r>
        <w:rPr>
          <w:i/>
          <w:iCs/>
        </w:rPr>
        <w:t xml:space="preserve">(API : `GET /api/v1/admin/exchange-rates/:base/history`.)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Taux périmés</w:t>
      </w:r>
      <w:r>
        <w:t xml:space="preserve"> : un badge signale les taux de plus de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FX_STALE_HOURS</w:t>
      </w:r>
      <w:r>
        <w:t xml:space="preserve"> (36 h par</w:t>
      </w:r>
    </w:p>
    <w:p>
      <w:pPr>
        <w:spacing w:after="160"/>
      </w:pPr>
      <w:r>
        <w:t xml:space="preserve">  défaut). Les transactions restent possibles avec le dernier taux connu, mais surveillez   ces alertes.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un couple de devises n'a </w:t>
      </w:r>
      <w:r>
        <w:rPr>
          <w:b/>
          <w:bCs/>
        </w:rPr>
        <w:t xml:space="preserve">aucun taux</w:t>
      </w:r>
      <w:r>
        <w:t xml:space="preserve">, la création de colis ou de paiement dans</w:t>
      </w:r>
    </w:p>
    <w:p>
      <w:pPr>
        <w:spacing w:after="160"/>
      </w:pPr>
      <w:r>
        <w:t xml:space="preserve">  cette devise est </w:t>
      </w:r>
      <w:r>
        <w:rPr>
          <w:b/>
          <w:bCs/>
        </w:rPr>
        <w:t xml:space="preserve">bloquée</w:t>
      </w:r>
      <w:r>
        <w:t xml:space="preserve">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FX_RATE_MISSING</w:t>
      </w:r>
      <w:r>
        <w:t xml:space="preserve">) : saisissez un taux manuel.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7. Gérer les utilisateurs et les droits</w:t>
      </w:r>
    </w:p>
    <w:p>
      <w:pPr>
        <w:spacing w:after="160"/>
      </w:pPr>
      <w:r>
        <w:t xml:space="preserve">Réservé au </w:t>
      </w:r>
      <w:r>
        <w:rPr>
          <w:b/>
          <w:bCs/>
        </w:rPr>
        <w:t xml:space="preserve">super-administrateur</w:t>
      </w:r>
      <w:r>
        <w:t xml:space="preserve"> (permission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user:manage</w:t>
      </w:r>
      <w:r>
        <w:t xml:space="preserve">). Écran </w:t>
      </w:r>
      <w:r>
        <w:rPr>
          <w:b/>
          <w:bCs/>
        </w:rPr>
        <w:t xml:space="preserve">« Utilisateurs »</w:t>
      </w:r>
      <w:r>
        <w:t xml:space="preserve">.</w:t>
      </w:r>
    </w:p>
    <w:p>
      <w:pPr>
        <w:pStyle w:val="Heading3"/>
        <w:spacing w:after="140" w:before="260"/>
      </w:pPr>
      <w:r>
        <w:t xml:space="preserve">Créer un compte</w:t>
      </w:r>
    </w:p>
    <w:p>
      <w:pPr>
        <w:spacing w:after="160"/>
      </w:pPr>
      <w:r>
        <w:t xml:space="preserve">Renseigner nom, e-mail, mot de passe provisoire (≥ 10 caractères). Demander à la personne de le changer et d'activer le MFA à la première connexion.</w:t>
      </w:r>
    </w:p>
    <w:p>
      <w:pPr>
        <w:pStyle w:val="Heading3"/>
        <w:spacing w:after="140" w:before="260"/>
      </w:pPr>
      <w:r>
        <w:t xml:space="preserve">Activer / désactiver</w:t>
      </w:r>
    </w:p>
    <w:p>
      <w:pPr>
        <w:spacing w:after="160"/>
      </w:pPr>
      <w:r>
        <w:t xml:space="preserve">Bouton dans la liste. Un compte désactivé ne peut plus se connecter ; ses sessions restent à révoquer si besoin.</w:t>
      </w:r>
    </w:p>
    <w:p>
      <w:pPr>
        <w:pStyle w:val="Heading3"/>
        <w:spacing w:after="140" w:before="260"/>
      </w:pPr>
      <w:r>
        <w:t xml:space="preserve">Attribuer un rôle et un périmètre</w:t>
      </w:r>
    </w:p>
    <w:p>
      <w:pPr>
        <w:spacing w:after="160"/>
      </w:pPr>
      <w:r>
        <w:rPr>
          <w:i/>
          <w:iCs/>
        </w:rPr>
        <w:t xml:space="preserve">(API : `POST /api/v1/admin/users/:id/roles` avec `{ roleCode, scopeCountryId?, scopeAgencyId? }`.)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Contrainte de périmètre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AGENT_FRET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scopeAgencyId</w:t>
            </w:r>
            <w:r>
              <w:t xml:space="preserve"> </w:t>
            </w:r>
            <w:r>
              <w:rPr>
                <w:b/>
                <w:bCs/>
              </w:rPr>
              <w:t xml:space="preserve">obligatoire</w:t>
            </w:r>
            <w:r>
              <w:t xml:space="preserve">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ADMIN_DAF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scopeCountryId</w:t>
            </w:r>
            <w:r>
              <w:t xml:space="preserve"> facultatif (aucune valeur = tous les pays).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SUPER_ADMIN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aucun périmètre (global).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Retirer un rôle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DELETE /api/v1/admin/users/:id/roles/:userRoleId</w:t>
      </w:r>
      <w:r>
        <w:t xml:space="preserve">.</w:t>
      </w:r>
    </w:p>
    <w:p>
      <w:pPr>
        <w:pStyle w:val="Heading3"/>
        <w:spacing w:after="140" w:before="260"/>
      </w:pPr>
      <w:r>
        <w:t xml:space="preserve">Réinitialiser le MFA</w:t>
      </w:r>
    </w:p>
    <w:p>
      <w:pPr>
        <w:spacing w:after="160"/>
      </w:pPr>
      <w:r>
        <w:t xml:space="preserve">Si une personne perd son second facteur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POST /api/v1/admin/users/:id/reset-mfa</w:t>
      </w:r>
      <w:r>
        <w:t xml:space="preserve">. Elle devra refaire l'enrôlement.</w:t>
      </w:r>
    </w:p>
    <w:p>
      <w:pPr>
        <w:pStyle w:val="Heading3"/>
        <w:spacing w:after="140" w:before="260"/>
      </w:pPr>
      <w:r>
        <w:t xml:space="preserve">Bonnes pratiques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compte nominatif par personne, jamais de compte partagé.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moins de super-administrateurs possible.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Revoir les accès à chaque départ ou changement de poste.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Prévoir une procédure de </w:t>
      </w:r>
      <w:r>
        <w:rPr>
          <w:b/>
          <w:bCs/>
        </w:rPr>
        <w:t xml:space="preserve">secours</w:t>
      </w:r>
      <w:r>
        <w:t xml:space="preserve"> (break-glass) scellée pour le compte</w:t>
      </w:r>
    </w:p>
    <w:p>
      <w:pPr>
        <w:spacing w:after="160"/>
      </w:pPr>
      <w:r>
        <w:t xml:space="preserve">  super-administrateur.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8. Journal d'audit</w:t>
      </w:r>
    </w:p>
    <w:p>
      <w:pPr>
        <w:spacing w:after="160"/>
      </w:pPr>
      <w:r>
        <w:t xml:space="preserve">Toutes les actions sensibles sont journalisées de façon </w:t>
      </w:r>
      <w:r>
        <w:rPr>
          <w:b/>
          <w:bCs/>
        </w:rPr>
        <w:t xml:space="preserve">immuable</w:t>
      </w:r>
      <w:r>
        <w:t xml:space="preserve"> (append-only) : connexions et échecs, création/modification de colis, paiements, remboursements, changements de tarifs, de taux, de droits, de configuration, accès RGPD.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Chaque entrée conserve : acteur, action, entité, </w:t>
      </w:r>
      <w:r>
        <w:rPr>
          <w:b/>
          <w:bCs/>
        </w:rPr>
        <w:t xml:space="preserve">avant/après</w:t>
      </w:r>
      <w:r>
        <w:t xml:space="preserve"> (données personnelles</w:t>
      </w:r>
    </w:p>
    <w:p>
      <w:pPr>
        <w:spacing w:after="160"/>
      </w:pPr>
      <w:r>
        <w:t xml:space="preserve">  expurgées), adresse IP, identifiant de requête, horodatage.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Consultation / export : </w:t>
      </w:r>
      <w:r>
        <w:rPr>
          <w:i/>
          <w:iCs/>
        </w:rPr>
        <w:t xml:space="preserve">(API : `GET /api/v1/admin/audit-logs`)</w:t>
      </w:r>
      <w:r>
        <w:t xml:space="preserve">, réservé DAF /</w:t>
      </w:r>
    </w:p>
    <w:p>
      <w:pPr>
        <w:spacing w:after="160"/>
      </w:pPr>
      <w:r>
        <w:t xml:space="preserve">  super-administrateur.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Conservation ≥ 5 ans.</w:t>
      </w:r>
    </w:p>
    <w:p>
      <w:pPr>
        <w:spacing w:after="160"/>
      </w:pPr>
      <w:r>
        <w:t xml:space="preserve">Utilisez-le pour : tracer une modification de tarif contestée, comprendre un écart de solde, contrôler qui a livré un colis impayé avec dérogation.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9. Configuration</w:t>
      </w:r>
    </w:p>
    <w:p>
      <w:pPr>
        <w:spacing w:after="160"/>
      </w:pPr>
      <w:r>
        <w:t xml:space="preserve">Toutes ces modifications se font </w:t>
      </w:r>
      <w:r>
        <w:rPr>
          <w:b/>
          <w:bCs/>
        </w:rPr>
        <w:t xml:space="preserve">sans redéploiement</w:t>
      </w:r>
      <w:r>
        <w:t xml:space="preserve"> et sont </w:t>
      </w:r>
      <w:r>
        <w:rPr>
          <w:b/>
          <w:bCs/>
        </w:rPr>
        <w:t xml:space="preserve">journalisées</w:t>
      </w:r>
      <w:r>
        <w:t xml:space="preserve">.</w:t>
      </w:r>
    </w:p>
    <w:p>
      <w:pPr>
        <w:pStyle w:val="Heading3"/>
        <w:spacing w:after="140" w:before="260"/>
      </w:pPr>
      <w:r>
        <w:t xml:space="preserve">9.1 Identité visuelle et pied de page — écran « Identité visuelle »</w:t>
      </w:r>
    </w:p>
    <w:p>
      <w:pPr>
        <w:spacing w:after="160"/>
      </w:pPr>
      <w:r>
        <w:t xml:space="preserve">Couleurs de marque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brand.navy</w:t>
      </w:r>
      <w:r>
        <w:t xml:space="preserve">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#170655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brand.orange</w:t>
      </w:r>
      <w:r>
        <w:t xml:space="preserve">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#E47911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brand.turquoise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brand.anthracite</w:t>
      </w:r>
      <w:r>
        <w:t xml:space="preserve">), e-mail de contact, slogans </w:t>
      </w:r>
      <w:r>
        <w:rPr>
          <w:b/>
          <w:bCs/>
        </w:rPr>
        <w:t xml:space="preserve">fr / en / zh</w:t>
      </w:r>
      <w:r>
        <w:t xml:space="preserve">. Prises en compte immédiatement par la page publique. Un jeu de valeurs par défaut est fourni et restaurable.</w:t>
      </w:r>
    </w:p>
    <w:p>
      <w:pPr>
        <w:pStyle w:val="Heading3"/>
        <w:spacing w:after="140" w:before="260"/>
      </w:pPr>
      <w:r>
        <w:t xml:space="preserve">9.2 Textes du site public</w:t>
      </w:r>
    </w:p>
    <w:p>
      <w:pPr>
        <w:spacing w:after="160"/>
      </w:pPr>
      <w:r>
        <w:rPr>
          <w:i/>
          <w:iCs/>
        </w:rPr>
        <w:t xml:space="preserve">(API : `PUT /api/v1/admin/content/:key` avec `{ fr, en, zh }`.)</w:t>
      </w:r>
      <w:r>
        <w:t xml:space="preserve"> Blocs : titre et sous-titre d'accueil, slogan, et à compléter : mentions légales, politique de confidentialité, bannière cookies, contact DPO, FAQ — </w:t>
      </w:r>
      <w:r>
        <w:rPr>
          <w:b/>
          <w:bCs/>
        </w:rPr>
        <w:t xml:space="preserve">par pays et par langue</w:t>
      </w:r>
      <w:r>
        <w:t xml:space="preserve">.</w:t>
      </w:r>
    </w:p>
    <w:p>
      <w:pPr>
        <w:pStyle w:val="Heading3"/>
        <w:spacing w:after="140" w:before="260"/>
      </w:pPr>
      <w:r>
        <w:t xml:space="preserve">9.3 Référentiel : devises, villes, pays, corridors</w:t>
      </w:r>
    </w:p>
    <w:p>
      <w:pPr>
        <w:spacing w:after="160"/>
      </w:pPr>
      <w:r>
        <w:rPr>
          <w:i/>
          <w:iCs/>
        </w:rPr>
        <w:t xml:space="preserve">(API : `POST /api/v1/admin/currencies` ; endpoints de lecture `GET /api/v1/reference/...`.)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Devise</w:t>
      </w:r>
      <w:r>
        <w:t xml:space="preserve"> : ajouter une ligne (code ISO 4217, symbole, décimales) + l'activer. Aucune</w:t>
      </w:r>
    </w:p>
    <w:p>
      <w:pPr>
        <w:spacing w:after="160"/>
      </w:pPr>
      <w:r>
        <w:t xml:space="preserve">  devise n'est codée en dur. Une seule devise de référence.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Ville</w:t>
      </w:r>
      <w:r>
        <w:t xml:space="preserve"> : code IATA à 3 lettres, pays, fuseau, indicateurs origine/destination.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Corridor</w:t>
      </w:r>
      <w:r>
        <w:t xml:space="preserve"> : pays d'origine → pays de destination.</w:t>
      </w:r>
    </w:p>
    <w:p>
      <w:pPr>
        <w:pBdr>
          <w:left w:val="single" w:color="E47911" w:sz="24"/>
        </w:pBdr>
        <w:shd w:fill="FFF3E6" w:val="clear"/>
        <w:spacing w:after="200" w:before="100"/>
        <w:ind w:left="200"/>
      </w:pPr>
      <w:r>
        <w:t xml:space="preserve">L'ouverture d'un nouveau pays (France, Chine, Nigeria) consiste à : activer la devise, créer les villes, créer les corridors, saisir les tarifs, traduire les textes, configurer les fournisseurs de notification — </w:t>
      </w:r>
      <w:r>
        <w:rPr>
          <w:b/>
          <w:bCs/>
        </w:rPr>
        <w:t xml:space="preserve">sans développement</w:t>
      </w:r>
      <w:r>
        <w:t xml:space="preserve"> (voir le [plan de déploiement multi-pays](08-plan-deploiement-multipays.md)).</w:t>
      </w:r>
    </w:p>
    <w:p>
      <w:pPr>
        <w:pStyle w:val="Heading3"/>
        <w:spacing w:after="140" w:before="260"/>
      </w:pPr>
      <w:r>
        <w:t xml:space="preserve">9.4 Modèles de notification</w:t>
      </w:r>
    </w:p>
    <w:p>
      <w:pPr>
        <w:spacing w:after="160"/>
      </w:pPr>
      <w:r>
        <w:t xml:space="preserve">45 modèles (5 déclencheurs × 3 canaux × 3 langues). Variables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{{numero_suivi}}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{{statut}}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{{ville_destination}}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{{ville_actuelle}}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{{lien_suivi}}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{{solde}}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{{devise}}</w:t>
      </w:r>
      <w:r>
        <w:t xml:space="preserve">. Respecter les contraintes des fournisseurs (Meta exige des </w:t>
      </w:r>
      <w:r>
        <w:rPr>
          <w:i/>
          <w:iCs/>
        </w:rPr>
        <w:t xml:space="preserve">templates</w:t>
      </w:r>
      <w:r>
        <w:t xml:space="preserve"> approuvés pour WhatsApp).</w:t>
      </w:r>
    </w:p>
    <w:p>
      <w:pPr>
        <w:pStyle w:val="Heading3"/>
        <w:spacing w:after="140" w:before="260"/>
      </w:pPr>
      <w:r>
        <w:t xml:space="preserve">9.5 Paramètres globaux</w:t>
      </w:r>
    </w:p>
    <w:p>
      <w:pPr>
        <w:spacing w:after="160"/>
      </w:pPr>
      <w:r>
        <w:rPr>
          <w:i/>
          <w:iCs/>
        </w:rPr>
        <w:t xml:space="preserve">(API : `GET /api/v1/admin/settings` · `PUT /api/v1/admin/settings/:key`.)</w:t>
      </w:r>
      <w:r>
        <w:t xml:space="preserve"> Exemples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fx.reference_currency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fx.stale_hours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tracking.sequence_scope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dunning.schedule_days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pricing.override_max_pct</w:t>
      </w:r>
      <w:r>
        <w:t xml:space="preserve">,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contact.email</w:t>
      </w:r>
      <w:r>
        <w:t xml:space="preserve">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10. Facturation et pièces comptables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Pièce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Généré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Numérotation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Reçu d'enregistrement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à l'enregistrement du colis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5451B"/>
                <w:shd w:fill="F4F0FF" w:val="clear"/>
              </w:rPr>
              <w:t xml:space="preserve">ISO2-AAAA-000000</w:t>
            </w:r>
            <w:r>
              <w:t xml:space="preserve">, </w:t>
            </w:r>
            <w:r>
              <w:rPr>
                <w:b/>
                <w:bCs/>
              </w:rPr>
              <w:t xml:space="preserve">continue par pays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Reçu de paiement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à chaque paiement confirmé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idem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Facture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à la clôture (colis « Payé »)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idem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Avoir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à un remboursement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idem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Les pièces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invoices</w:t>
      </w:r>
      <w:r>
        <w:t xml:space="preserve">) sont </w:t>
      </w:r>
      <w:r>
        <w:rPr>
          <w:b/>
          <w:bCs/>
        </w:rPr>
        <w:t xml:space="preserve">immuables</w:t>
      </w:r>
      <w:r>
        <w:t xml:space="preserve">. Une erreur se corrige par un </w:t>
      </w:r>
      <w:r>
        <w:rPr>
          <w:b/>
          <w:bCs/>
        </w:rPr>
        <w:t xml:space="preserve">avoir</w:t>
      </w:r>
      <w:r>
        <w:t xml:space="preserve">,</w:t>
      </w:r>
    </w:p>
    <w:p>
      <w:pPr>
        <w:spacing w:after="160"/>
      </w:pPr>
      <w:r>
        <w:t xml:space="preserve">  jamais par modification.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Numérotation </w:t>
      </w:r>
      <w:r>
        <w:rPr>
          <w:b/>
          <w:bCs/>
        </w:rPr>
        <w:t xml:space="preserve">sans trou ni doublon</w:t>
      </w:r>
      <w:r>
        <w:t xml:space="preserve">, par pays et par type.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TVA : </w:t>
      </w:r>
      <w:r>
        <w:rPr>
          <w:b/>
          <w:bCs/>
        </w:rPr>
        <w:t xml:space="preserve">0 % par défaut</w:t>
      </w:r>
      <w:r>
        <w:t xml:space="preserve"> (D13) ; le taux est paramétrable par pays (champ prévu sur les</w:t>
      </w:r>
    </w:p>
    <w:p>
      <w:pPr>
        <w:spacing w:after="160"/>
      </w:pPr>
      <w:r>
        <w:t xml:space="preserve">  pièces).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Les PDF sont archivés sur le stockage objet et téléchargeables depuis la fiche du colis</w:t>
      </w:r>
    </w:p>
    <w:p>
      <w:pPr>
        <w:spacing w:after="160"/>
      </w:pPr>
      <w:r>
        <w:t xml:space="preserve">  (onglet Documents) par URL signée à durée limitée.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Export comptable</w:t>
      </w:r>
      <w:r>
        <w:t xml:space="preserve"> (CSV) : brique de reporting à venir — en attendant, les données</w:t>
      </w:r>
    </w:p>
    <w:p>
      <w:pPr>
        <w:spacing w:after="160"/>
      </w:pPr>
      <w:r>
        <w:t xml:space="preserve">  sont dans les tables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payments</w:t>
      </w:r>
      <w:r>
        <w:t xml:space="preserve"> et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invoices</w:t>
      </w:r>
      <w:r>
        <w:t xml:space="preserve"> (devise d'origine, contre-valeur USD,   taux, référence).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11. RGPD</w:t>
      </w:r>
    </w:p>
    <w:p>
      <w:pPr>
        <w:spacing w:after="160"/>
      </w:pPr>
      <w:r>
        <w:t xml:space="preserve">Référent : le </w:t>
      </w:r>
      <w:r>
        <w:rPr>
          <w:b/>
          <w:bCs/>
        </w:rPr>
        <w:t xml:space="preserve">DPO</w:t>
      </w:r>
      <w:r>
        <w:t xml:space="preserve"> (généralement porté par le super-administrateur).</w:t>
      </w:r>
    </w:p>
    <w:p>
      <w:pPr>
        <w:pStyle w:val="Heading3"/>
        <w:spacing w:after="140" w:before="260"/>
      </w:pPr>
      <w:r>
        <w:t xml:space="preserve">Base et consentement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Finalités : exécution du transport, notifications, preuve en cas de litige, obligations</w:t>
      </w:r>
    </w:p>
    <w:p>
      <w:pPr>
        <w:spacing w:after="160"/>
      </w:pPr>
      <w:r>
        <w:t xml:space="preserve">  comptables.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</w:t>
      </w:r>
      <w:r>
        <w:rPr>
          <w:b/>
          <w:bCs/>
        </w:rPr>
        <w:t xml:space="preserve">consentement</w:t>
      </w:r>
      <w:r>
        <w:t xml:space="preserve"> du client est recueilli et </w:t>
      </w:r>
      <w:r>
        <w:rPr>
          <w:b/>
          <w:bCs/>
        </w:rPr>
        <w:t xml:space="preserve">horodaté</w:t>
      </w:r>
      <w:r>
        <w:t xml:space="preserve"> à l'enregistrement (table</w:t>
      </w:r>
    </w:p>
    <w:p>
      <w:pPr>
        <w:spacing w:after="160"/>
      </w:pPr>
      <w:r>
        <w:t xml:space="preserve"> 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consents</w:t>
      </w:r>
      <w:r>
        <w:t xml:space="preserve">, avec la version des mentions présentées).</w:t>
      </w:r>
    </w:p>
    <w:p>
      <w:pPr>
        <w:pStyle w:val="Heading3"/>
        <w:spacing w:after="140" w:before="260"/>
      </w:pPr>
      <w:r>
        <w:t xml:space="preserve">Rétention</w:t>
      </w:r>
    </w:p>
    <w:p>
      <w:pPr>
        <w:spacing w:after="160"/>
      </w:pPr>
      <w:r>
        <w:t xml:space="preserve">Table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retention_policies</w:t>
      </w:r>
      <w:r>
        <w:t xml:space="preserve"> (paramétrable)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Durée par défaut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shd w:fill="17065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Dossier colis (contacts, évènements, photos)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60 mois</w:t>
            </w:r>
            <w:r>
              <w:t xml:space="preserve"> après livraison (D15)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anonymisation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Pièces comptables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120 mois (à ajuster par pays)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conservation puis suppression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Journal d'audit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60 mois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suppression</w:t>
            </w:r>
          </w:p>
        </w:tc>
      </w:tr>
      <w:tr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Notifications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13 mois</w:t>
            </w:r>
          </w:p>
        </w:tc>
        <w:tc>
          <w:tcPr>
            <w:tcBorders>
              <w:top w:val="single" w:color="D8D6E6" w:sz="2"/>
              <w:left w:val="single" w:color="D8D6E6" w:sz="2"/>
              <w:bottom w:val="single" w:color="D8D6E6" w:sz="2"/>
              <w:right w:val="single" w:color="D8D6E6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t xml:space="preserve">suppression (destinataire haché à 3 mois)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Une tâche planifiée applique ces règles.</w:t>
      </w:r>
    </w:p>
    <w:p>
      <w:pPr>
        <w:pStyle w:val="Heading3"/>
        <w:spacing w:after="140" w:before="260"/>
      </w:pPr>
      <w:r>
        <w:t xml:space="preserve">Droit d'accès</w:t>
      </w:r>
    </w:p>
    <w:p>
      <w:pPr>
        <w:spacing w:after="160"/>
      </w:pPr>
      <w:r>
        <w:rPr>
          <w:i/>
          <w:iCs/>
        </w:rPr>
        <w:t xml:space="preserve">(API : `POST /api/v1/admin/gdpr/access-requests`.)</w:t>
      </w:r>
      <w:r>
        <w:t xml:space="preserve"> Agrège les données d'une personne (colis, contacts, notifications, consentements) identifiée par téléphone/e-mail normalisé, et produit un export.</w:t>
      </w:r>
    </w:p>
    <w:p>
      <w:pPr>
        <w:pStyle w:val="Heading3"/>
        <w:spacing w:after="140" w:before="260"/>
      </w:pPr>
      <w:r>
        <w:t xml:space="preserve">Droit à l'effacement</w:t>
      </w:r>
    </w:p>
    <w:p>
      <w:pPr>
        <w:spacing w:after="160"/>
      </w:pPr>
      <w:r>
        <w:rPr>
          <w:i/>
          <w:iCs/>
        </w:rPr>
        <w:t xml:space="preserve">(API : `POST /api/v1/admin/gdpr/erasure-requests`.)</w:t>
      </w:r>
      <w:r>
        <w:t xml:space="preserve"> </w:t>
      </w:r>
      <w:r>
        <w:rPr>
          <w:b/>
          <w:bCs/>
        </w:rPr>
        <w:t xml:space="preserve">Anonymise</w:t>
      </w:r>
      <w:r>
        <w:t xml:space="preserve"> les dossiers : les champs identifiants des contacts passent à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REDACTED</w:t>
      </w:r>
      <w:r>
        <w:t xml:space="preserve">, les coordonnées sont supprimées, les photos sont retirées du stockage (la ligne et l'empreinte SHA-256 sont conservées). Les </w:t>
      </w:r>
      <w:r>
        <w:rPr>
          <w:b/>
          <w:bCs/>
        </w:rPr>
        <w:t xml:space="preserve">montants, devises et pièces comptables sont conservés</w:t>
      </w:r>
      <w:r>
        <w:t xml:space="preserve"> sous forme non identifiante (obligation légale) ; un refus partiel est motivé. L'opération est tracée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data_erasure_requests</w:t>
      </w:r>
      <w:r>
        <w:t xml:space="preserve"> +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audit_logs</w:t>
      </w:r>
      <w:r>
        <w:t xml:space="preserve">).</w:t>
      </w:r>
    </w:p>
    <w:p>
      <w:pPr>
        <w:pStyle w:val="Heading3"/>
        <w:spacing w:after="140" w:before="260"/>
      </w:pPr>
      <w:r>
        <w:t xml:space="preserve">Résidence des données</w:t>
      </w:r>
    </w:p>
    <w:p>
      <w:pPr>
        <w:spacing w:after="160"/>
      </w:pPr>
      <w:r>
        <w:t xml:space="preserve">Le périmètre France / UE est hébergé en </w:t>
      </w:r>
      <w:r>
        <w:rPr>
          <w:b/>
          <w:bCs/>
        </w:rPr>
        <w:t xml:space="preserve">région UE</w:t>
      </w:r>
      <w:r>
        <w:t xml:space="preserve"> (OVHcloud). Les sous-traitants (stockage, e-mail, WhatsApp, taux de change) font l'objet d'un DPA ; la liste est tenue à jour et exposée dans les mentions légales configurables.</w:t>
      </w:r>
    </w:p>
    <w:p>
      <w:pPr>
        <w:pStyle w:val="Heading3"/>
        <w:spacing w:after="140" w:before="260"/>
      </w:pPr>
      <w:r>
        <w:t xml:space="preserve">Violation de données</w:t>
      </w:r>
    </w:p>
    <w:p>
      <w:pPr>
        <w:spacing w:after="160"/>
      </w:pPr>
      <w:r>
        <w:t xml:space="preserve">Procédure de notification à l'autorité compétente sous 72 h (à formaliser avec le DPO).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12. Checklist d'exploitation</w:t>
      </w:r>
    </w:p>
    <w:p>
      <w:pPr>
        <w:pStyle w:val="Heading3"/>
        <w:spacing w:after="140" w:before="260"/>
      </w:pPr>
      <w:r>
        <w:t xml:space="preserve">Quotidien</w:t>
      </w:r>
    </w:p>
    <w:p>
      <w:pPr>
        <w:spacing w:after="60"/>
        <w:ind w:left="360"/>
      </w:pPr>
      <w:r>
        <w:t xml:space="preserve">☐ </w:t>
      </w:r>
      <w:r>
        <w:t xml:space="preserve">Écran </w:t>
      </w:r>
      <w:r>
        <w:rPr>
          <w:b/>
          <w:bCs/>
        </w:rPr>
        <w:t xml:space="preserve">Rapports</w:t>
      </w:r>
      <w:r>
        <w:t xml:space="preserve"> : traiter les </w:t>
      </w:r>
      <w:r>
        <w:rPr>
          <w:b/>
          <w:bCs/>
        </w:rPr>
        <w:t xml:space="preserve">colis impayés arrivés</w:t>
      </w:r>
      <w:r>
        <w:t xml:space="preserve"> (relances déjà</w:t>
      </w:r>
    </w:p>
    <w:p>
      <w:pPr>
        <w:spacing w:after="160"/>
      </w:pPr>
      <w:r>
        <w:t xml:space="preserve">      envoyées automatiquement ; relancer manuellement si besoin).</w:t>
      </w:r>
    </w:p>
    <w:p>
      <w:pPr>
        <w:spacing w:after="60"/>
        <w:ind w:left="360"/>
      </w:pPr>
      <w:r>
        <w:t xml:space="preserve">☐ </w:t>
      </w:r>
      <w:r>
        <w:rPr>
          <w:b/>
          <w:bCs/>
        </w:rPr>
        <w:t xml:space="preserve">Taux de change</w:t>
      </w:r>
      <w:r>
        <w:t xml:space="preserve"> : vérifier l'absence de badge « périmé » ; sinon synchroniser</w:t>
      </w:r>
    </w:p>
    <w:p>
      <w:pPr>
        <w:spacing w:after="160"/>
      </w:pPr>
      <w:r>
        <w:t xml:space="preserve">      ou saisir un taux manuel.</w:t>
      </w:r>
    </w:p>
    <w:p>
      <w:pPr>
        <w:spacing w:after="60"/>
        <w:ind w:left="360"/>
      </w:pPr>
      <w:r>
        <w:t xml:space="preserve">☐ </w:t>
      </w:r>
      <w:r>
        <w:t xml:space="preserve">Vérifier que la </w:t>
      </w:r>
      <w:r>
        <w:rPr>
          <w:b/>
          <w:bCs/>
        </w:rPr>
        <w:t xml:space="preserve">synchro FX</w:t>
      </w:r>
      <w:r>
        <w:t xml:space="preserve"> du matin a bien eu lieu (source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API</w:t>
      </w:r>
      <w:r>
        <w:t xml:space="preserve">, âge faible).</w:t>
      </w:r>
    </w:p>
    <w:p>
      <w:pPr>
        <w:spacing w:after="60"/>
        <w:ind w:left="360"/>
      </w:pPr>
      <w:r>
        <w:t xml:space="preserve">☐ </w:t>
      </w:r>
      <w:r>
        <w:t xml:space="preserve">Parcourir le </w:t>
      </w:r>
      <w:r>
        <w:rPr>
          <w:b/>
          <w:bCs/>
        </w:rPr>
        <w:t xml:space="preserve">journal d'audit</w:t>
      </w:r>
      <w:r>
        <w:t xml:space="preserve"> pour les actions inhabituelles (remboursements,</w:t>
      </w:r>
    </w:p>
    <w:p>
      <w:pPr>
        <w:spacing w:after="160"/>
      </w:pPr>
      <w:r>
        <w:t xml:space="preserve">      dérogations impayé, changements de tarif).</w:t>
      </w:r>
    </w:p>
    <w:p>
      <w:pPr>
        <w:pStyle w:val="Heading3"/>
        <w:spacing w:after="140" w:before="260"/>
      </w:pPr>
      <w:r>
        <w:t xml:space="preserve">Hebdomadaire</w:t>
      </w:r>
    </w:p>
    <w:p>
      <w:pPr>
        <w:spacing w:after="60"/>
        <w:ind w:left="360"/>
      </w:pPr>
      <w:r>
        <w:t xml:space="preserve">☐ </w:t>
      </w:r>
      <w:r>
        <w:t xml:space="preserve">Contrôle de cohérence financière (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v_parcel_financials</w:t>
      </w:r>
      <w:r>
        <w:t xml:space="preserve">) : résultat vide attendu.</w:t>
      </w:r>
    </w:p>
    <w:p>
      <w:pPr>
        <w:spacing w:after="60"/>
        <w:ind w:left="360"/>
      </w:pPr>
      <w:r>
        <w:t xml:space="preserve">☐ </w:t>
      </w:r>
      <w:r>
        <w:t xml:space="preserve">Revue des </w:t>
      </w:r>
      <w:r>
        <w:rPr>
          <w:b/>
          <w:bCs/>
        </w:rPr>
        <w:t xml:space="preserve">paiements « en attente »</w:t>
      </w:r>
      <w:r>
        <w:t xml:space="preserve"> anciens (Mobile Money/carte non confirmés).</w:t>
      </w:r>
    </w:p>
    <w:p>
      <w:pPr>
        <w:spacing w:after="60"/>
        <w:ind w:left="360"/>
      </w:pPr>
      <w:r>
        <w:t xml:space="preserve">☐ </w:t>
      </w:r>
      <w:r>
        <w:t xml:space="preserve">Revue des </w:t>
      </w:r>
      <w:r>
        <w:rPr>
          <w:b/>
          <w:bCs/>
        </w:rPr>
        <w:t xml:space="preserve">comptes utilisateurs</w:t>
      </w:r>
      <w:r>
        <w:t xml:space="preserve"> (nouveaux, inactifs, MFA non activé pour DAF).</w:t>
      </w:r>
    </w:p>
    <w:p>
      <w:pPr>
        <w:pStyle w:val="Heading3"/>
        <w:spacing w:after="140" w:before="260"/>
      </w:pPr>
      <w:r>
        <w:t xml:space="preserve">Mensuel</w:t>
      </w:r>
    </w:p>
    <w:p>
      <w:pPr>
        <w:spacing w:after="60"/>
        <w:ind w:left="360"/>
      </w:pPr>
      <w:r>
        <w:t xml:space="preserve">☐ </w:t>
      </w:r>
      <w:r>
        <w:t xml:space="preserve">Rapprochement comptable (export des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payments</w:t>
      </w:r>
      <w:r>
        <w:t xml:space="preserve"> /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invoices</w:t>
      </w:r>
      <w:r>
        <w:t xml:space="preserve"> du mois).</w:t>
      </w:r>
    </w:p>
    <w:p>
      <w:pPr>
        <w:spacing w:after="60"/>
        <w:ind w:left="360"/>
      </w:pPr>
      <w:r>
        <w:t xml:space="preserve">☐ </w:t>
      </w:r>
      <w:r>
        <w:t xml:space="preserve">Vérifier la numérotation continue des pièces par pays (aucun trou).</w:t>
      </w:r>
    </w:p>
    <w:p>
      <w:pPr>
        <w:spacing w:after="60"/>
        <w:ind w:left="360"/>
      </w:pPr>
      <w:r>
        <w:t xml:space="preserve">☐ </w:t>
      </w:r>
      <w:r>
        <w:t xml:space="preserve">Contrôler les </w:t>
      </w:r>
      <w:r>
        <w:rPr>
          <w:b/>
          <w:bCs/>
        </w:rPr>
        <w:t xml:space="preserve">grilles tarifaires</w:t>
      </w:r>
      <w:r>
        <w:t xml:space="preserve"> en vigueur.</w:t>
      </w:r>
    </w:p>
    <w:p>
      <w:pPr>
        <w:spacing w:after="60"/>
        <w:ind w:left="360"/>
      </w:pPr>
      <w:r>
        <w:t xml:space="preserve">☐ </w:t>
      </w:r>
      <w:r>
        <w:t xml:space="preserve">Vérifier le bon déroulement des </w:t>
      </w:r>
      <w:r>
        <w:rPr>
          <w:b/>
          <w:bCs/>
        </w:rPr>
        <w:t xml:space="preserve">sauvegardes</w:t>
      </w:r>
      <w:r>
        <w:t xml:space="preserve"> (voir manuel d'installation).</w:t>
      </w:r>
    </w:p>
    <w:p>
      <w:pPr>
        <w:pStyle w:val="Heading3"/>
        <w:spacing w:after="140" w:before="260"/>
      </w:pPr>
      <w:r>
        <w:t xml:space="preserve">Trimestriel</w:t>
      </w:r>
    </w:p>
    <w:p>
      <w:pPr>
        <w:spacing w:after="60"/>
        <w:ind w:left="360"/>
      </w:pPr>
      <w:r>
        <w:t xml:space="preserve">☐ </w:t>
      </w:r>
      <w:r>
        <w:t xml:space="preserve">Test de </w:t>
      </w:r>
      <w:r>
        <w:rPr>
          <w:b/>
          <w:bCs/>
        </w:rPr>
        <w:t xml:space="preserve">restauration</w:t>
      </w:r>
      <w:r>
        <w:t xml:space="preserve"> de la base.</w:t>
      </w:r>
    </w:p>
    <w:p>
      <w:pPr>
        <w:spacing w:after="60"/>
        <w:ind w:left="360"/>
      </w:pPr>
      <w:r>
        <w:t xml:space="preserve">☐ </w:t>
      </w:r>
      <w:r>
        <w:t xml:space="preserve">Revue des accès et des droits (départs, changements de poste).</w:t>
      </w:r>
    </w:p>
    <w:p>
      <w:pPr>
        <w:spacing w:after="60"/>
        <w:ind w:left="360"/>
      </w:pPr>
      <w:r>
        <w:t xml:space="preserve">☐ </w:t>
      </w:r>
      <w:r>
        <w:t xml:space="preserve">Revue des politiques de </w:t>
      </w:r>
      <w:r>
        <w:rPr>
          <w:b/>
          <w:bCs/>
        </w:rPr>
        <w:t xml:space="preserve">rétention</w:t>
      </w:r>
      <w:r>
        <w:t xml:space="preserve"> et des demandes RGPD traitées.</w:t>
      </w:r>
    </w:p>
    <w:p>
      <w:pPr>
        <w:pBdr>
          <w:bottom w:val="single" w:color="D8D6E6" w:sz="6"/>
        </w:pBdr>
        <w:spacing w:after="200"/>
      </w:pPr>
    </w:p>
    <w:p>
      <w:pPr>
        <w:pStyle w:val="Heading2"/>
        <w:spacing w:after="140" w:before="260"/>
      </w:pPr>
      <w:r>
        <w:t xml:space="preserve">13. Aide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Questions fonctionnelles : ce manuel + [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04-wireframes.md</w:t>
      </w:r>
      <w:r>
        <w:t xml:space="preserve">](04-wireframes.md).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Questions techniques (installation, déploiement, fournisseurs) :</w:t>
      </w:r>
    </w:p>
    <w:p>
      <w:pPr>
        <w:spacing w:after="160"/>
      </w:pPr>
      <w:r>
        <w:t xml:space="preserve">  [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05-manuel-installation-configuration.md</w:t>
      </w:r>
      <w:r>
        <w:t xml:space="preserve">](05-manuel-installation-configuration.md).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Ouverture d'un nouveau pays :</w:t>
      </w:r>
    </w:p>
    <w:p>
      <w:pPr>
        <w:spacing w:after="160"/>
      </w:pPr>
      <w:r>
        <w:t xml:space="preserve">  [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08-plan-deploiement-multipays.md</w:t>
      </w:r>
      <w:r>
        <w:t xml:space="preserve">](08-plan-deploiement-multipays.md).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Contact général : </w:t>
      </w:r>
      <w:r>
        <w:rPr>
          <w:rFonts w:ascii="Consolas" w:cs="Consolas" w:eastAsia="Consolas" w:hAnsi="Consolas"/>
          <w:color w:val="B5451B"/>
          <w:shd w:fill="F4F0FF" w:val="clear"/>
        </w:rPr>
        <w:t xml:space="preserve">contact.gokapi@gmail.com</w:t>
      </w:r>
      <w:r>
        <w:t xml:space="preserve">.</w:t>
      </w:r>
    </w:p>
    <w:p>
      <w:pPr>
        <w:pBdr>
          <w:bottom w:val="single" w:color="D8D6E6" w:sz="6"/>
        </w:pBdr>
        <w:spacing w:after="200"/>
      </w:pPr>
    </w:p>
    <w:p>
      <w:pPr>
        <w:spacing w:after="160"/>
      </w:pPr>
      <w:r>
        <w:rPr>
          <w:i/>
          <w:iCs/>
        </w:rPr>
        <w:t xml:space="preserve">Fin du document 07.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976"/>
        <w:sz w:val="15"/>
        <w:szCs w:val="15"/>
      </w:rPr>
      <w:t xml:space="preserve">© 2026 Global Okapi Group. Tous droits réservés.   —   Page </w:t>
    </w:r>
    <w:r>
      <w:rPr>
        <w:color w:val="6A69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A6976"/>
        <w:sz w:val="15"/>
        <w:szCs w:val="15"/>
      </w:rPr>
      <w:t xml:space="preserve"> / </w:t>
    </w:r>
    <w:r>
      <w:rPr>
        <w:color w:val="6A69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6E6" w:sz="4"/>
      </w:pBdr>
    </w:pPr>
    <w:r>
      <w:rPr>
        <w:b/>
        <w:bCs/>
        <w:color w:val="170655"/>
        <w:sz w:val="16"/>
        <w:szCs w:val="16"/>
      </w:rPr>
      <w:t xml:space="preserve">OKAPI LOGISTICS</w:t>
    </w:r>
    <w:r>
      <w:rPr>
        <w:color w:val="6A6976"/>
        <w:sz w:val="16"/>
        <w:szCs w:val="16"/>
      </w:rPr>
      <w:t xml:space="preserve">   ·   Manuel de l’administration DAF &amp; super-administrateur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E3138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E47911" w:sz="8"/>
      </w:pBdr>
      <w:spacing w:after="160" w:before="400"/>
    </w:pPr>
    <w:rPr>
      <w:rFonts w:ascii="Segoe UI" w:cs="Segoe UI" w:eastAsia="Segoe UI" w:hAnsi="Segoe UI"/>
      <w:b/>
      <w:bCs/>
      <w:color w:val="170655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70655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40"/>
    </w:pPr>
    <w:rPr>
      <w:b/>
      <w:bCs/>
      <w:color w:val="1CA9C9"/>
      <w:sz w:val="23"/>
      <w:szCs w:val="23"/>
    </w:rPr>
  </w:style>
  <w:style w:type="paragraph" w:styleId="Heading4">
    <w:name w:val="Heading 4"/>
    <w:basedOn w:val="Normal"/>
    <w:next w:val="Normal"/>
    <w:pPr>
      <w:spacing w:after="80" w:before="200"/>
    </w:pPr>
    <w:rPr>
      <w:b/>
      <w:bCs/>
      <w:i/>
      <w:iCs/>
      <w:color w:val="6A697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2026-09-15T16:11:59.970Z</dcterms:created>
  <dcterms:modified xsi:type="dcterms:W3CDTF">2026-09-15T16:11:59.970Z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