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2025-07-25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w:t>
      </w:r>
      <w:r>
        <w:t xml:space="preserve"> </w:t>
      </w:r>
      <w:r>
        <w:t xml:space="preserve">‘actuarial morality system’</w:t>
      </w:r>
      <w:r>
        <w:t xml:space="preserve"> </w:t>
      </w:r>
      <w:r>
        <w:t xml:space="preserve">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describe the acute suffering of long-term imprisonment and analyse the complex processes of moral reflection among prisoners that follow. These diverge markedly from sentencing policy’s intended outcomes. While life sentences cause suffering effectively, they often do so excessively, failing to facilitate coherent moral communication or to consistently foster reflection on wrongdoing. Indeed, intense anguish appears to inhibit constructive moral engagement. By evidencing this, we aim to enrich the dialogue between penal theory and empirical penology.</w:t>
      </w:r>
    </w:p>
    <w:bookmarkEnd w:id="20"/>
    <w:bookmarkStart w:id="22" w:name="context"/>
    <w:p>
      <w:pPr>
        <w:pStyle w:val="Heading2"/>
      </w:pPr>
      <w:r>
        <w:t xml:space="preserve">Context</w:t>
      </w:r>
    </w:p>
    <w:p>
      <w:pPr>
        <w:pStyle w:val="FirstParagraph"/>
      </w:pPr>
      <w:r>
        <w:t xml:space="preserve">As of March 2025, 7,491 men and women were serving life sentences in custody in England &amp; Wales</w:t>
      </w:r>
      <w:r>
        <w:t xml:space="preserve"> </w:t>
      </w:r>
      <w:r>
        <w:t xml:space="preserve">(</w:t>
      </w:r>
      <w:hyperlink w:anchor="Xc73ad580fbb9170a5a28cab9a86cf176ad7fdd9">
        <w:r>
          <w:rPr>
            <w:rStyle w:val="Hyperlink"/>
          </w:rPr>
          <w:t xml:space="preserve">Ministry of Justice 2025</w:t>
        </w:r>
      </w:hyperlink>
      <w:r>
        <w:t xml:space="preserve">, tbl. 1.Q.14)</w:t>
      </w:r>
      <w:r>
        <w:t xml:space="preserve">. This is double the 1993 figure and almost 2,000 more than 20 years ago, meaning life-sentenced prisoners constitute over eight per cent of the prison population. The number serving very long sentences</w:t>
      </w:r>
      <w:r>
        <w:t xml:space="preserve"> </w:t>
      </w:r>
      <w:r>
        <w:t xml:space="preserve">(i.e. with tariffs over 20 years—see</w:t>
      </w:r>
      <w:r>
        <w:t xml:space="preserve"> </w:t>
      </w:r>
      <w:hyperlink w:anchor="Xc73ad580fbb9170a5a28cab9a86cf176ad7fdd9">
        <w:r>
          <w:rPr>
            <w:rStyle w:val="Hyperlink"/>
          </w:rPr>
          <w:t xml:space="preserve">Ministry of Justice 2025</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w:t>
        </w:r>
      </w:hyperlink>
      <w:r>
        <w:t xml:space="preserve">, tbl. 1.Q.16)</w:t>
      </w:r>
      <w:r>
        <w:t xml:space="preserve">.</w:t>
      </w:r>
    </w:p>
    <w:p>
      <w:pPr>
        <w:pStyle w:val="BodyText"/>
      </w:pPr>
      <w:r>
        <w:t xml:space="preserve">These changes stem primarily from legislative action, rather than quantitative or qualitative shifts in the incidence of homicide</w:t>
      </w:r>
      <w:r>
        <w:t xml:space="preserve"> </w:t>
      </w:r>
      <w:r>
        <w:t xml:space="preserve">(</w:t>
      </w:r>
      <w:hyperlink w:anchor="Xc0f26589138960a4dedd90d30c0d0b36ec1b21a">
        <w:r>
          <w:rPr>
            <w:rStyle w:val="Hyperlink"/>
          </w:rPr>
          <w:t xml:space="preserve">Office for National Statistics 2019</w:t>
        </w:r>
      </w:hyperlink>
      <w:r>
        <w:t xml:space="preserve">)</w:t>
      </w:r>
      <w:r>
        <w:t xml:space="preserve">. Introducing the current statutory sentencing regime in 2003, then Home Secretary David Blunkett explicitly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major theme: the new law would</w:t>
      </w:r>
      <w:r>
        <w:t xml:space="preserve"> </w:t>
      </w:r>
      <w:r>
        <w:t xml:space="preserve">“send appropriate signals to both perpetrators and the wider community”</w:t>
      </w:r>
      <w:r>
        <w:t xml:space="preserve"> </w:t>
      </w:r>
      <w:r>
        <w:t xml:space="preserve">and exercise deterrent effects by</w:t>
      </w:r>
      <w:r>
        <w:t xml:space="preserve"> </w:t>
      </w:r>
      <w:r>
        <w:t xml:space="preserve">“showing [offenders] that there will be clear and unequivocal consequences”</w:t>
      </w:r>
      <w:r>
        <w:t xml:space="preserve">. Blunkett also cited high-profile examples of serious reoffending to suggest that longer minimum terms would benefit public protection. Other parliamentarians largely echoed his reasoning.</w:t>
      </w:r>
      <w:r>
        <w:rPr>
          <w:rStyle w:val="FootnoteReference"/>
        </w:rPr>
        <w:footnoteReference w:id="21"/>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severity’s non-instrumental consequences—what it means to imprison people for such extended periods.</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146 of whom also engaged in in-depth interviews, sampled by sentence stage.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22"/>
    <w:bookmarkStart w:id="24" w:name="life-imprisonment-and-suffering"/>
    <w:p>
      <w:pPr>
        <w:pStyle w:val="Heading2"/>
      </w:pPr>
      <w:r>
        <w:t xml:space="preserve">Life imprisonment and suffering</w:t>
      </w:r>
    </w:p>
    <w:p>
      <w:pPr>
        <w:pStyle w:val="FirstParagraph"/>
      </w:pPr>
      <w:r>
        <w:t xml:space="preserve">Evidence shows the early sentence stage is most associated with distress</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Our research corroborates this through survey data</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r>
        <w:t xml:space="preserve">and prisoners’ accounts. Most describe their early sentence phase as a period of acute anguish, when they are flooded with negative sentiments and an overwhelming hopelessness and despair.</w:t>
      </w:r>
    </w:p>
    <w:p>
      <w:pPr>
        <w:pStyle w:val="BodyText"/>
      </w:pPr>
      <w:r>
        <w:t xml:space="preserve">Typically, at this stage, the present feels meaningless, and any future seems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23"/>
      </w:r>
    </w:p>
    <w:p>
      <w:pPr>
        <w:pStyle w:val="BlockText"/>
      </w:pPr>
      <w:r>
        <w:t xml:space="preserve">A life sentence kills your hope, man, it takes it; […] it swallows it. You’ve got no hope and no future, no life, no nothing. (Ashley, 30s, early)</w:t>
      </w:r>
    </w:p>
    <w:p>
      <w:pPr>
        <w:pStyle w:val="FirstParagraph"/>
      </w:pPr>
      <w:r>
        <w:t xml:space="preserve">Many individuals whose tariffs exceed their age at conviction struggle to comprehend what lies ahead of them:</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Some find thoughts of the future impossible; others know that contemplating the time which must elapse before it becomes possible will damage their psychological wellbeing. The metaphors used to describe this period are telling, referencing sinking and drowning, or death and decay—</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support—let alone meaningfully reflecting on what they had done—nearly impossible. Their suffering and distress inhibit meaningful moral reflection.</w:t>
      </w:r>
    </w:p>
    <w:p>
      <w:pPr>
        <w:pStyle w:val="BodyText"/>
      </w:pPr>
      <w:r>
        <w:t xml:space="preserve">In what follows, we highlight the ruptures that life imprisonment engenders to illustrate the nature of suffering such sentences entail, and how the resulting coping styles either suppress appetites for moral and existential reflection, or leave them in a relatively unformed state.</w:t>
      </w:r>
    </w:p>
    <w:bookmarkEnd w:id="24"/>
    <w:bookmarkStart w:id="2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w:t>
      </w:r>
      <w:r>
        <w:t xml:space="preserve">“there’s no point in living anymore”</w:t>
      </w:r>
      <w:r>
        <w:t xml:space="preserve"> </w:t>
      </w:r>
      <w:r>
        <w:t xml:space="preserve">(Darrin, 20s, early)—is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losses, both are felt less intensely as a life ruined, since there are also often career and family-related achievements (not only opportunity costs)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25"/>
      </w:r>
      <w:r>
        <w:t xml:space="preserve">—some clinging to slim hopes of appeal, others psychologically unable to acknowledge their actions (</w:t>
      </w:r>
      <w:r>
        <w:t xml:space="preserve">“I couldn’t believe I could be that person”</w:t>
      </w:r>
      <w:r>
        <w:t xml:space="preserve">—John, 20s, mid).</w:t>
      </w:r>
      <w:r>
        <w:rPr>
          <w:rStyle w:val="FootnoteReference"/>
        </w:rPr>
        <w:footnoteReference w:id="2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come to terms with what they have done and—unless claiming categorical innocence—express regret and remorse at their involvement in someone else’s death.</w:t>
      </w:r>
    </w:p>
    <w:p>
      <w:pPr>
        <w:pStyle w:val="BodyText"/>
      </w:pPr>
      <w:r>
        <w:t xml:space="preserve">However, it would be mistaken to identify this adaptation with the absence of suffering, or with the moral engagement required for reflective contemplation on personal wrongdoing. Indeed, prisoners at this sentence stage—in a seemingly endless life chapter, before release is even worth contemplating—often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life-sentenced prisoners learn to cope. But many do so in—and because of—a state of sustained anaesthesia, numbing precisely the moral emotions which might facilitate deeper accountability. What makes the sentence bearable might compromise the accountability it seeks; it is worth questioning whether, over a long period, this form of living—one which requires the absence of feeling—is conducive to moral dialogue.</w:t>
      </w:r>
    </w:p>
    <w:p>
      <w:pPr>
        <w:pStyle w:val="BodyText"/>
      </w:pPr>
      <w:r>
        <w:t xml:space="preserve">Other prisoners, having moved beyond early turmoil and found ways to cope, engage in nascent forms of reflective contemplation. They wish to explore existential questions—how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 unpleasantness retributive theorists see as inherent to punishment, nor even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concept of suffering, but something far more acute, painful, and prolonged. To subject people to such experiences requires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27"/>
      </w:r>
      <w:r>
        <w:t xml:space="preserve"> </w:t>
      </w:r>
      <w:r>
        <w:t xml:space="preserve">This suggests that, regardless of how decent any institution might be, life imprisonment will generate suffering that is both profound and hard to mitigate.</w:t>
      </w:r>
    </w:p>
    <w:p>
      <w:pPr>
        <w:pStyle w:val="BodyText"/>
      </w:pPr>
      <w:r>
        <w:t xml:space="preserve">Third, there seems to be an inverse relationship between levels of suffering and the potential for constructive moral reflection. At the very least, once distress is extremely intense, it colonises mental headspace to a degree that precludes productive moral agency. Perhaps ironically, in time, the same ruptures that initially generate trauma open up space for more fruitful moral deliberation (or spur it directly), not through unmitigated suffering but through a complicated interaction between sorrow and interruption: by removing people from their pre-carceral lifestyles, placing them in circumstances that produce existential clarity about what matters</w:t>
      </w:r>
      <w:r>
        <w:t xml:space="preserve"> </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28"/>
    <w:bookmarkStart w:id="40" w:name="Xac7be5ba35ed1416cd11f1e352cbc2b5835a76f"/>
    <w:p>
      <w:pPr>
        <w:pStyle w:val="Heading2"/>
      </w:pPr>
      <w:r>
        <w:t xml:space="preserve">Moral communication and reflection in practice</w:t>
      </w:r>
    </w:p>
    <w:p>
      <w:pPr>
        <w:pStyle w:val="FirstParagraph"/>
      </w:pPr>
      <w:r>
        <w:t xml:space="preserve">We now explore what forms of moral reflection are evident,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2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suffer—with minimal consideration for effects—communicative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Duff 2011 p. 16</w:t>
        </w:r>
      </w:hyperlink>
      <w:r>
        <w:t xml:space="preserve">)</w:t>
      </w:r>
      <w:r>
        <w:t xml:space="preserve"> </w:t>
      </w:r>
      <w:r>
        <w:t xml:space="preserve">yet function communicatively—keeping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 p. 16</w:t>
        </w:r>
      </w:hyperlink>
      <w:r>
        <w:t xml:space="preserve">)</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 p. 1686</w:t>
        </w:r>
      </w:hyperlink>
      <w:r>
        <w:t xml:space="preserve">)</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 p. 1690</w:t>
        </w:r>
      </w:hyperlink>
      <w:r>
        <w:t xml:space="preserve">)</w:t>
      </w:r>
      <w:r>
        <w:t xml:space="preserve">. Yet Hampton recognises limits: excessive harshness violates rightful values as much as excessive leniency. However, in serious cases only the state—functioning as the impartial representative of the whole polity—can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 p. 1694</w:t>
        </w:r>
      </w:hyperlink>
      <w:r>
        <w:t xml:space="preserve">)</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sentence imposes a distorting lens, which often obscures, sometimes occludes, and at best fails to attend to the genuine moral engagement communication theorists seek to promote.</w:t>
      </w:r>
    </w:p>
    <w:bookmarkEnd w:id="29"/>
    <w:bookmarkStart w:id="31" w:name="risk-discourse-and-moral-communication"/>
    <w:p>
      <w:pPr>
        <w:pStyle w:val="Heading3"/>
      </w:pPr>
      <w:r>
        <w:t xml:space="preserve">Risk discourse and moral communication</w:t>
      </w:r>
    </w:p>
    <w:p>
      <w:pPr>
        <w:pStyle w:val="FirstParagraph"/>
      </w:pPr>
      <w:r>
        <w:t xml:space="preserve">Because prisons are closed institutions, censure is</w:t>
      </w:r>
      <w:r>
        <w:t xml:space="preserve"> </w:t>
      </w:r>
      <w:r>
        <w:t xml:space="preserve">“oblique”</w:t>
      </w:r>
      <w:r>
        <w:t xml:space="preserve"> </w:t>
      </w:r>
      <w:r>
        <w:t xml:space="preserve">(</w:t>
      </w:r>
      <w:hyperlink w:anchor="ref-garlandPunishmentModernSociety1990">
        <w:r>
          <w:rPr>
            <w:rStyle w:val="Hyperlink"/>
          </w:rPr>
          <w:t xml:space="preserve">Garland 1990 p. 186</w:t>
        </w:r>
      </w:hyperlink>
      <w:r>
        <w:t xml:space="preserve">)</w:t>
      </w:r>
      <w:r>
        <w:t xml:space="preserve">: implicit, and mediated through institutional practices, rather than declared directly in public (as by a court). For life-sentenced prisoners, risk assessment and management are the most important such practices—and, because they govern progression and release, they deliver powerful if indirect messages about desirable moral selfhood. This creates what might be termed, following Williams</w:t>
      </w:r>
      <w:r>
        <w:t xml:space="preserve"> </w:t>
      </w:r>
      <w:r>
        <w:t xml:space="preserve">(</w:t>
      </w:r>
      <w:hyperlink w:anchor="Xf6b0058c8b1d9a1bcd528632cc56148eabbca3d">
        <w:r>
          <w:rPr>
            <w:rStyle w:val="Hyperlink"/>
          </w:rPr>
          <w:t xml:space="preserve">2011</w:t>
        </w:r>
      </w:hyperlink>
      <w:r>
        <w:t xml:space="preserve">)</w:t>
      </w:r>
      <w:r>
        <w:t xml:space="preserve">, an</w:t>
      </w:r>
      <w:r>
        <w:t xml:space="preserve"> </w:t>
      </w:r>
      <w:r>
        <w:t xml:space="preserve">‘actuarial morality system’</w:t>
      </w:r>
      <w:r>
        <w:t xml:space="preserve">: a framework that transforms ethical considerations into risk factors and subordinates moral dialogue to risk management. While unambiguously aimed at public protection and not censure, this focus on prospective risk can distort recognition of past wrongs.</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3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rPr>
          <w:i/>
          <w:iCs/>
        </w:rPr>
        <w:t xml:space="preserve">lacking</w:t>
      </w:r>
      <w:r>
        <w:t xml:space="preserve"> </w:t>
      </w:r>
      <w:r>
        <w:t xml:space="preserve">specific context. The basis for restoration was not dialogue, reflection, and amends, but learned acquiescence to the prison’s framing of his selfhood.</w:t>
      </w:r>
    </w:p>
    <w:p>
      <w:pPr>
        <w:pStyle w:val="BodyText"/>
      </w:pPr>
      <w:r>
        <w:t xml:space="preserve">Our contention is that prison risk practices</w:t>
      </w:r>
      <w:r>
        <w:t xml:space="preserve"> </w:t>
      </w:r>
      <w:r>
        <w:rPr>
          <w:i/>
          <w:iCs/>
        </w:rPr>
        <w:t xml:space="preserve">intensify censure</w:t>
      </w:r>
      <w:r>
        <w:t xml:space="preserve">: they detach the offence from its specific relational contexts, replacing these with a generic presumption of risk. Rather than engaging prisoners in meaningful dialogue respecting their autonomy as moral subjects, this treats prisoners as permanently risky objects whose autonomy must be constrained indefinitely.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performances with opaque and shifting requirements. To demonstrate reduced future risk, prisoners must somehow signal</w:t>
      </w:r>
      <w:r>
        <w:t xml:space="preserve"> </w:t>
      </w:r>
      <w:r>
        <w:t xml:space="preserve">“insight”</w:t>
      </w:r>
      <w:r>
        <w:t xml:space="preserve"> </w:t>
      </w:r>
      <w:r>
        <w:t xml:space="preserve">into their past behaviour. Yet what constitutes insight seems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admissions—acknowledging peripheral but not core wrongs—will suffice:</w:t>
      </w:r>
    </w:p>
    <w:p>
      <w:pPr>
        <w:pStyle w:val="BlockText"/>
      </w:pPr>
      <w:r>
        <w:t xml:space="preserve">[I’m innocent of murder, but] I’ve said I’m not proud of the way I was […] in relation to the affairs. I can openly admit [that], I said,</w:t>
      </w:r>
      <w:r>
        <w:t xml:space="preserve"> </w:t>
      </w:r>
      <w:r>
        <w:t xml:space="preserve">‘No-one deserves that’</w:t>
      </w:r>
      <w:r>
        <w:t xml:space="preserve">. (Ian, 50s, post-tariff)</w:t>
      </w:r>
    </w:p>
    <w:p>
      <w:pPr>
        <w:pStyle w:val="FirstParagraph"/>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prisoners must perform,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I have to manage my risk. Because it’s me that is responsible for my actions’</w:t>
      </w:r>
      <w:r>
        <w:t xml:space="preserve">. And [my offender manager] said,</w:t>
      </w:r>
      <w:r>
        <w:t xml:space="preserve"> </w:t>
      </w:r>
      <w:r>
        <w:t xml:space="preserve">‘no, we manage your risk’</w:t>
      </w:r>
      <w:r>
        <w:t xml:space="preserve">. […]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acquiescence and childlike dependency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w:t>
      </w:r>
      <w:hyperlink w:anchor="ref-shinglerTheirLifeYour2020">
        <w:r>
          <w:rPr>
            <w:rStyle w:val="Hyperlink"/>
          </w:rPr>
          <w:t xml:space="preserve">Shingler</w:t>
        </w:r>
        <w:r>
          <w:rPr>
            <w:rStyle w:val="Hyperlink"/>
          </w:rPr>
          <w:t xml:space="preserve"> </w:t>
        </w:r>
        <w:r>
          <w:rPr>
            <w:rStyle w:val="Hyperlink"/>
            <w:i/>
            <w:iCs/>
          </w:rPr>
          <w:t xml:space="preserve">et al.</w:t>
        </w:r>
        <w:r>
          <w:rPr>
            <w:rStyle w:val="Hyperlink"/>
          </w:rPr>
          <w:t xml:space="preserve"> </w:t>
        </w:r>
        <w:r>
          <w:rPr>
            <w:rStyle w:val="Hyperlink"/>
          </w:rPr>
          <w:t xml:space="preserve">2020 p. 5</w:t>
        </w:r>
      </w:hyperlink>
      <w:r>
        <w:t xml:space="preserve">; see also</w:t>
      </w:r>
      <w:r>
        <w:t xml:space="preserve"> </w:t>
      </w:r>
      <w:hyperlink w:anchor="Xfa089967d99a5ec91966640dc70f33e4e99cfaa">
        <w:r>
          <w:rPr>
            <w:rStyle w:val="Hyperlink"/>
          </w:rPr>
          <w:t xml:space="preserve">HM Inspectorate of Probation &amp; HM Inspectorate of Prisons 2022</w:t>
        </w:r>
      </w:hyperlink>
      <w:r>
        <w:t xml:space="preserve"> </w:t>
      </w:r>
      <w:r>
        <w:t xml:space="preserve">on the practical consequences)</w:t>
      </w:r>
      <w:r>
        <w:t xml:space="preserve">. Consequently,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w:t>
      </w:r>
      <w:r>
        <w:t xml:space="preserve">for others. Prisoners understand that interventions shape their progression chances, and often interpret the prison’s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[risk] reviews […] They don’t know you or what you’ve been through. (Ebo, 20s, mid)</w:t>
      </w:r>
    </w:p>
    <w:p>
      <w:pPr>
        <w:pStyle w:val="BlockText"/>
      </w:pPr>
      <w:r>
        <w:t xml:space="preserve">They put me on the back burner, because…</w:t>
      </w:r>
      <w:r>
        <w:t xml:space="preserve"> </w:t>
      </w:r>
      <w:r>
        <w:t xml:space="preserve">‘he’s got a long time to do.’</w:t>
      </w:r>
      <w:r>
        <w:t xml:space="preserve"> </w:t>
      </w:r>
      <w:r>
        <w:t xml:space="preserve">But, I mean, [I’ve been here] six years… And I’ve asked for a sentence plan, but…</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31"/>
    <w:bookmarkStart w:id="35" w:name="X2febd389ed1fe200b012b8dbc07684b4964b49d"/>
    <w:p>
      <w:pPr>
        <w:pStyle w:val="Heading3"/>
      </w:pPr>
      <w:r>
        <w:t xml:space="preserve">Temporal misalignment and missed opportunities</w:t>
      </w:r>
    </w:p>
    <w:p>
      <w:pPr>
        <w:pStyle w:val="FirstParagraph"/>
      </w:pPr>
      <w:r>
        <w:t xml:space="preserve">Given these resourcing pressures, accessing risk-focused interventions can be difficult, and the intensity and timing of official communication becomes highly contingent. Generally, prisoners with earlier release dates take priority (meaning lifers far from potential release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attention, or expedited intervention.</w:t>
      </w:r>
      <w:r>
        <w:rPr>
          <w:rStyle w:val="FootnoteReference"/>
        </w:rPr>
        <w:footnoteReference w:id="32"/>
      </w:r>
    </w:p>
    <w:p>
      <w:pPr>
        <w:pStyle w:val="BodyText"/>
      </w:pPr>
      <w:r>
        <w:t xml:space="preserve">Though a rational allocation of scarce resources, this ensures the timing and intensity of moral communication varies considerably, and not according to the</w:t>
      </w:r>
      <w:r>
        <w:t xml:space="preserve"> </w:t>
      </w:r>
      <w:r>
        <w:t xml:space="preserve">‘seriousness’</w:t>
      </w:r>
      <w:r>
        <w:t xml:space="preserve"> </w:t>
      </w:r>
      <w:r>
        <w:t xml:space="preserve">of the offence. The absence or deferral of communication has unforeseen effects on the messages prisoners receive. During the early sentence stages Tony (30s, mid) described the nihilistic anger and overwhelm we note above, particularly rooted in shame about his offence. His violence towards prison staff expedited his access to intervention, and yielded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seems to mean mere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moral communication with prisoners may be distorted by risk, but even that institutions may fail to engage in it at all, even where prisoners are attempting to do so:</w:t>
      </w:r>
    </w:p>
    <w:p>
      <w:pPr>
        <w:pStyle w:val="BlockText"/>
      </w:pPr>
      <w:r>
        <w:t xml:space="preserve">There’s a lad on my spur, I think he’s about 20 months into a 22-year tariff. He’s asked them […] he’s asked for TSP,</w:t>
      </w:r>
      <w:r>
        <w:rPr>
          <w:rStyle w:val="FootnoteReference"/>
        </w:rPr>
        <w:footnoteReference w:id="33"/>
      </w:r>
      <w:r>
        <w:t xml:space="preserve"> </w:t>
      </w:r>
      <w:r>
        <w:t xml:space="preserve">to get on it, and they’re saying, well, you know what, we’ll put you on the waiting list, but… there’ll be people […] that’ll need it before you. So […] he wrote to Grendon,</w:t>
      </w:r>
      <w:r>
        <w:rPr>
          <w:rStyle w:val="FootnoteReference"/>
        </w:rPr>
        <w:footnoteReference w:id="3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be poorly timed if they fail to align with windows of moral openness. As we saw above, the early sentence stage is characterised by distress which obstructs meaningful reflection. Some high-risk prisoners encounter intensive programming at this stage, with potentially positive results. Conversely, those accessing interventions much later—when the offence’s immediacy has faded—show considerable defensiveness and disengagement:</w:t>
      </w:r>
    </w:p>
    <w:p>
      <w:pPr>
        <w:pStyle w:val="BlockText"/>
      </w:pPr>
      <w:r>
        <w:t xml:space="preserve">I’ve done two… three… four… five courses while I’ve been here, I think. But I couldn’t tell you what they’re called. It just fucking goes in one ear and out the other now.</w:t>
      </w:r>
    </w:p>
    <w:p>
      <w:pPr>
        <w:pStyle w:val="BlockText"/>
      </w:pPr>
      <w:r>
        <w:rPr>
          <w:i/>
          <w:iCs/>
        </w:rPr>
        <w:t xml:space="preserve">Yeah. Are you past the point where you engage with them seriously?</w:t>
      </w:r>
    </w:p>
    <w:p>
      <w:pPr>
        <w:pStyle w:val="BlockText"/>
      </w:pP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prisoners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35"/>
    <w:bookmarkStart w:id="39"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but prisoners’ reflections follow individual pathways, require individual catalysts, and tend to explore</w:t>
      </w:r>
      <w:r>
        <w:t xml:space="preserve"> </w:t>
      </w:r>
      <w:r>
        <w:rPr>
          <w:i/>
          <w:iCs/>
        </w:rPr>
        <w:t xml:space="preserve">both</w:t>
      </w:r>
      <w:r>
        <w:t xml:space="preserve"> </w:t>
      </w:r>
      <w:r>
        <w:t xml:space="preserve">culpability and redemption. Such reflections often occur beyond the scope or the prompting of institutional risk frameworks, and take hold through varied channels. Here, we discuss four significant examples: experiences of grief and loss, informal relationships, commitments to faith and education, and private practices of penance.</w:t>
      </w:r>
    </w:p>
    <w:p>
      <w:pPr>
        <w:pStyle w:val="BodyText"/>
      </w:pPr>
      <w:r>
        <w:t xml:space="preserve">Many life-sentenced prisoners reflect on loss—through bereavement or the ruptures we describe above—as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w:t>
      </w:r>
      <w:r>
        <w:rPr>
          <w:rStyle w:val="FootnoteReference"/>
        </w:rPr>
        <w:footnoteReference w:id="36"/>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w:t>
      </w:r>
    </w:p>
    <w:p>
      <w:pPr>
        <w:pStyle w:val="FirstParagraph"/>
      </w:pPr>
      <w:r>
        <w:t xml:space="preserve">Tom’s experience illustrates how imprisonment’s ruptures—in this example, being unable to comfort grieving family members—can deepen moral understanding through loss. However, it also shows how the challenges of</w:t>
      </w:r>
      <w:r>
        <w:t xml:space="preserve"> </w:t>
      </w:r>
      <w:r>
        <w:rPr>
          <w:i/>
          <w:iCs/>
        </w:rPr>
        <w:t xml:space="preserve">getting through the sentence</w:t>
      </w:r>
      <w:r>
        <w:t xml:space="preserve"> </w:t>
      </w:r>
      <w:r>
        <w:t xml:space="preserve">(</w:t>
      </w:r>
      <w:r>
        <w:t xml:space="preserve">“my little goals”</w:t>
      </w:r>
      <w:r>
        <w:t xml:space="preserve">) can distract attention from the offence. The demands of accountability and the pragmatics of survival are in conflict, particularly in prisons marked by pervasive violence and tension. In such environments—young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For Leon (40s, mid), reflecting on his family’s loyalty during his sentence, and the disappearance of his friendships with criminal associates, shifted his priorities:</w:t>
      </w:r>
    </w:p>
    <w:p>
      <w:pPr>
        <w:pStyle w:val="BlockText"/>
      </w:pPr>
      <w:r>
        <w:t xml:space="preserve">The most meaningful thing in my life right now? I’d say family. My mum, my brother, my nan […] My priorities wasn’t in the right place […] That’s changed now. […] Eyes on the prize.</w:t>
      </w:r>
    </w:p>
    <w:p>
      <w:pPr>
        <w:pStyle w:val="FirstParagraph"/>
      </w:pPr>
      <w:r>
        <w:t xml:space="preserve">Within the prison, supportive, trusting relationships could play a similar role. Tony (quoted above) described how supportive words from a prison officer opened a new, less defensive standpoint on his punishment For a few participants, similar shifts had followed comments—not always positive—by trusted peers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 controls or formal programmes, but a chaplain’s recognition of his humanity and potential. This pastoral encounter offered a perspective on grave wrongdoing not predicated on presumed risk, but instead holding out possibilities for moral rehabilitation. Others described how faith practices acknowledged, yet paradoxically also relieved, guilt’s impact: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w:t>
      </w:r>
      <w:r>
        <w:rPr>
          <w:rStyle w:val="FootnoteReference"/>
        </w:rPr>
        <w:footnoteReference w:id="37"/>
      </w:r>
      <w:r>
        <w:t xml:space="preserve"> </w:t>
      </w:r>
      <w:r>
        <w:t xml:space="preserve">(Andy, 30s, late)</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w:t>
      </w:r>
      <w:r>
        <w:t xml:space="preserve">“I’ll never forgive myself. I don’t want to forgive myself”</w:t>
      </w:r>
      <w:r>
        <w:t xml:space="preserve">—and deliberately stopped taking medication to induce illness. Tom (50s, post-tariff) practised similar self-denial:</w:t>
      </w:r>
    </w:p>
    <w:p>
      <w:pPr>
        <w:pStyle w:val="BlockText"/>
      </w:pPr>
      <w:r>
        <w:t xml:space="preserve">I don’t want to feel too good. [My victim] cannot laugh, she cannot smile, she cannot see her family, so why should I? So, if I [feel too good] I would punish myself.</w:t>
      </w:r>
    </w:p>
    <w:p>
      <w:pPr>
        <w:pStyle w:val="FirstParagraph"/>
      </w:pPr>
      <w:r>
        <w:t xml:space="preserve">His methods ranged from self-harm (in earlier years) to refusing entertainment or moments of conviviality:</w:t>
      </w:r>
      <w:r>
        <w:t xml:space="preserve"> </w:t>
      </w:r>
      <w:r>
        <w:t xml:space="preserve">“If the lads were having a food boat…</w:t>
      </w:r>
      <w:r>
        <w:rPr>
          <w:rStyle w:val="FootnoteReference"/>
        </w:rPr>
        <w:footnoteReference w:id="38"/>
      </w:r>
      <w:r>
        <w:t xml:space="preserve"> </w:t>
      </w:r>
      <w:r>
        <w:t xml:space="preserve">I would say no, bang up, go without, just to punish myself.”</w:t>
      </w:r>
      <w:r>
        <w:t xml:space="preserve"> </w:t>
      </w:r>
      <w:r>
        <w:t xml:space="preserve">The voluntary nature of these practices distinguishes them, as does their connection to meaningful relationships, including those with victims. Unlike institutional programmes, they emerge from prisoners’ inner lives. By acknowledging wrongdoing without seeking institutional validation, they hint at private penance.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legitimate penal aims of public protection and rehabilitation might distort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critiquing retributive theories,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the prison context too often fails to provide. Risk assessments conducted by strangers, however predictively valid or professionally competent, lack the standing to elicit genuine moral engagement.</w:t>
      </w:r>
    </w:p>
    <w:p>
      <w:pPr>
        <w:pStyle w:val="BodyText"/>
      </w:pPr>
      <w:r>
        <w:t xml:space="preserve">Where there are exceptions, they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39"/>
    <w:bookmarkEnd w:id="40"/>
    <w:bookmarkStart w:id="43" w:name="conclusion"/>
    <w:p>
      <w:pPr>
        <w:pStyle w:val="Heading2"/>
      </w:pPr>
      <w:r>
        <w:t xml:space="preserve">Conclusion</w:t>
      </w:r>
    </w:p>
    <w:p>
      <w:pPr>
        <w:pStyle w:val="FirstParagraph"/>
      </w:pPr>
      <w:r>
        <w:t xml:space="preserve">It might be necessary or inevitable that punishment causes suffering. Our argument starts from the idea—gleaned from penal theory—that retributive suffering might have important the communicative purpose of reaffirming and vindicating the values violated by wrongdoing. We have described the acute suffering generated by the contemporary life sentence, and argued that both its extreme length, and the centrality of risk to its paradigm of moral evaluation, compromise its communicative functions. To emphasise this point: if retributive punishment means something more than vengeance, and if the suffering it inflicts ought to promote moral engagement, then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 simple-mindedness, specifically an impoverished theory of value.</w:t>
      </w:r>
      <w:r>
        <w:rPr>
          <w:rStyle w:val="FootnoteReference"/>
        </w:rPr>
        <w:footnoteReference w:id="41"/>
      </w:r>
      <w:r>
        <w:t xml:space="preserve"> </w:t>
      </w:r>
      <w:r>
        <w:t xml:space="preserve">In reducing all values to desert, they evade the responsibilities those who inflict suffering—however deserved—ought to feel. This is</w:t>
      </w:r>
      <w:r>
        <w:t xml:space="preserve"> </w:t>
      </w:r>
      <w:r>
        <w:t xml:space="preserve">“impoverished”</w:t>
      </w:r>
      <w:r>
        <w:t xml:space="preserve"> </w:t>
      </w:r>
      <w:r>
        <w:t xml:space="preserve">because it is inhospitable to what Zaibert, quoting Wilfred Owen, calls the</w:t>
      </w:r>
      <w:r>
        <w:t xml:space="preserve"> </w:t>
      </w:r>
      <w:r>
        <w:t xml:space="preserve">‘eternal reciprocity of tears’</w:t>
      </w:r>
      <w:r>
        <w:t xml:space="preserve">—the moral emotions that</w:t>
      </w:r>
      <w:r>
        <w:t xml:space="preserve"> </w:t>
      </w:r>
      <w:r>
        <w:rPr>
          <w:i/>
          <w:iCs/>
        </w:rPr>
        <w:t xml:space="preserve">should</w:t>
      </w:r>
      <w:r>
        <w:t xml:space="preserve"> </w:t>
      </w:r>
      <w:r>
        <w:t xml:space="preserve">trouble us, even when punishment is incontrovertibly justified. Such</w:t>
      </w:r>
      <w:r>
        <w:t xml:space="preserve"> </w:t>
      </w:r>
      <w:r>
        <w:t xml:space="preserve">“remainders”</w:t>
      </w:r>
      <w:r>
        <w:t xml:space="preserve"> </w:t>
      </w:r>
      <w:r>
        <w:t xml:space="preserve">(</w:t>
      </w:r>
      <w:hyperlink w:anchor="ref-zaibertRethinkingPunishment2018">
        <w:r>
          <w:rPr>
            <w:rStyle w:val="Hyperlink"/>
          </w:rPr>
          <w:t xml:space="preserve">Zaibert 2018 pp. 145–6</w:t>
        </w:r>
      </w:hyperlink>
      <w:r>
        <w:t xml:space="preserve">)</w:t>
      </w:r>
      <w:r>
        <w:t xml:space="preserve"> </w:t>
      </w:r>
      <w:r>
        <w:t xml:space="preserve">persist even after we have acted rightfully, since they relate to conflict between irreconcilable values. To shut oneself off from these emotions is sometimes adaptive, but also dehumanising (as Owen, reflecting on war trauma, recognised).</w:t>
      </w:r>
      <w:r>
        <w:t xml:space="preserve"> </w:t>
      </w:r>
      <w:r>
        <w:t xml:space="preserve">“Remainders”</w:t>
      </w:r>
      <w:r>
        <w:t xml:space="preserve"> </w:t>
      </w:r>
      <w:r>
        <w:t xml:space="preserve">are crucial to Zaibert’s distinction between punishment and revenge, which hinges precisely on the punisher’s capacity for moral conflict: while the avenger inflicts suffering</w:t>
      </w:r>
      <w:r>
        <w:t xml:space="preserve"> </w:t>
      </w:r>
      <w:r>
        <w:t xml:space="preserve">‘simplemindedly’</w:t>
      </w:r>
      <w:r>
        <w:t xml:space="preserve">, the legitimate punisher experiences something like agent regret</w:t>
      </w:r>
      <w:r>
        <w:rPr>
          <w:rStyle w:val="FootnoteReference"/>
        </w:rPr>
        <w:footnoteReference w:id="42"/>
      </w:r>
      <w:r>
        <w:t xml:space="preserve"> </w:t>
      </w:r>
      <w:r>
        <w:t xml:space="preserve">about the suffering they inflict—a feeling not quite of moral guilt, but more than generic sadness. They might, on this basis, also acknowledge that this emotion carries moral implications for how they implement the penalty.</w:t>
      </w:r>
    </w:p>
    <w:p>
      <w:pPr>
        <w:pStyle w:val="BodyText"/>
      </w:pPr>
      <w:r>
        <w:t xml:space="preserve">We elaborate Zaibert’s critique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life-sentenced prisoners—including Tom and Frank, both quoted above—demonstrate sophisticated moral reasoning. They neither wholly accept nor wholly reject institutional narratives about their culpability. They forgive themselves for some aspects while accepting profound responsibility for others—recognising that quibbles over some elements of the official account pale against the grave losses they caused. This nuanced moral engagement emerges through contingent, personal processes. We do not claim such epiphanies are universal. Crucially, though, we do not believe they are rare, and our account of risk management practices suggests little space for the pluralistic forms of responsibility such reflections produce.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sentence—comprising an extremely long penalty phase, with progression organised around a monistic understanding of risk—mirrors the</w:t>
      </w:r>
      <w:r>
        <w:t xml:space="preserve"> </w:t>
      </w:r>
      <w:r>
        <w:t xml:space="preserve">‘simple-mindedness’</w:t>
      </w:r>
      <w:r>
        <w:t xml:space="preserve"> </w:t>
      </w:r>
      <w:r>
        <w:t xml:space="preserve">Zaibert identifies in</w:t>
      </w:r>
      <w:r>
        <w:t xml:space="preserve"> </w:t>
      </w:r>
      <w:r>
        <w:t xml:space="preserve">‘pure’</w:t>
      </w:r>
      <w:r>
        <w:t xml:space="preserve"> </w:t>
      </w:r>
      <w:r>
        <w:t xml:space="preserve">desert theories. Much as Moore</w:t>
      </w:r>
      <w:r>
        <w:t xml:space="preserve"> </w:t>
      </w:r>
      <w:r>
        <w:t xml:space="preserve">(</w:t>
      </w:r>
      <w:hyperlink w:anchor="ref-moorePlacingBlameTheory2010">
        <w:r>
          <w:rPr>
            <w:rStyle w:val="Hyperlink"/>
          </w:rPr>
          <w:t xml:space="preserve">2010</w:t>
        </w:r>
      </w:hyperlink>
      <w:r>
        <w:t xml:space="preserve">)</w:t>
      </w:r>
      <w:r>
        <w:t xml:space="preserve"> </w:t>
      </w:r>
      <w:r>
        <w:t xml:space="preserve">reduced all values to desert, argued that punishment required no further justification, and admitted no limit beyond proportionality, what we have called an</w:t>
      </w:r>
      <w:r>
        <w:t xml:space="preserve"> </w:t>
      </w:r>
      <w:r>
        <w:t xml:space="preserve">‘actuarial morality system’</w:t>
      </w:r>
      <w:r>
        <w:t xml:space="preserve"> </w:t>
      </w:r>
      <w:r>
        <w:t xml:space="preserve">reduces all values to risk, and defers recognition for prisoners’ moral engagement until they have a) consumed a surfeit of retributive time, and b) learned to account for themselves in line with official expectations.</w:t>
      </w:r>
    </w:p>
    <w:p>
      <w:pPr>
        <w:pStyle w:val="BodyText"/>
      </w:pPr>
      <w:r>
        <w:t xml:space="preserve">The irreducible burden of time leads to what we have called</w:t>
      </w:r>
      <w:r>
        <w:t xml:space="preserve"> </w:t>
      </w:r>
      <w:r>
        <w:t xml:space="preserve">‘sedative coping’</w:t>
      </w:r>
      <w:r>
        <w:t xml:space="preserve">. When prisoners must anaesthetise themselves to survive—becoming, in Mason’s words,</w:t>
      </w:r>
      <w:r>
        <w:t xml:space="preserve"> </w:t>
      </w:r>
      <w:r>
        <w:t xml:space="preserve">“an emotionless person”</w:t>
      </w:r>
      <w:r>
        <w:t xml:space="preserve">—they lose access to precisely those moral emotions which might deepen their engagement. A system that necessitates the suppression of feeling promotes passive endurance, and fails consistently to awaken or facilitate the moral engagement it purports to seek. Alternatively, prisoners serving long sentences are calling out for such engagement, but find a response that does not align with their grounds for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2021 p. 58</w:t>
        </w:r>
      </w:hyperlink>
      <w:r>
        <w:t xml:space="preserve">)</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the system fails to engage seriously with its communicative duties. If anything, the acute anguish caused by very long sentences seems to impede such a goal, at least during the initial years of custody; at best, life sentences might produce space for prisoners to engage in moral reflection and accept some form of accountability. But they do so clumsily, unevenly, and inconsistently, often substituting responsibilities associated with avoiding future harms for responsibilities arising from past wrongs. Our suggestion is that they ought to support prisoners in synthesising these two forms of responsibility, instead of monistically privileging one over the other.</w:t>
      </w:r>
    </w:p>
    <w:p>
      <w:r>
        <w:br w:type="page"/>
      </w:r>
    </w:p>
    <w:bookmarkEnd w:id="43"/>
    <w:bookmarkStart w:id="105" w:name="references"/>
    <w:p>
      <w:pPr>
        <w:pStyle w:val="Heading2"/>
      </w:pPr>
      <w:r>
        <w:t xml:space="preserve">References</w:t>
      </w:r>
    </w:p>
    <w:bookmarkStart w:id="104" w:name="refs"/>
    <w:bookmarkStart w:id="45" w:name="ref-creweSedativeCopingContextual2024"/>
    <w:p>
      <w:pPr>
        <w:pStyle w:val="Bibliography"/>
      </w:pPr>
      <w:r>
        <w:t xml:space="preserve">Crewe, B. (2024).</w:t>
      </w:r>
      <w:r>
        <w:t xml:space="preserve"> </w:t>
      </w:r>
      <w:hyperlink r:id="rId4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45"/>
    <w:bookmarkStart w:id="47" w:name="ref-creweSwimmingTideAdapting2017"/>
    <w:p>
      <w:pPr>
        <w:pStyle w:val="Bibliography"/>
      </w:pPr>
      <w:r>
        <w:t xml:space="preserve">Crewe, B., Hulley, S., &amp; Wright, S. (2017).</w:t>
      </w:r>
      <w:r>
        <w:t xml:space="preserve"> </w:t>
      </w:r>
      <w:hyperlink r:id="rId4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47"/>
    <w:bookmarkStart w:id="4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8"/>
    <w:bookmarkStart w:id="50" w:name="ref-creweTightnessRecognitionPenal2021"/>
    <w:p>
      <w:pPr>
        <w:pStyle w:val="Bibliography"/>
      </w:pPr>
      <w:r>
        <w:t xml:space="preserve">Crewe, B., &amp; Ievins, A. (2021).</w:t>
      </w:r>
      <w:r>
        <w:t xml:space="preserve"> </w:t>
      </w:r>
      <w:hyperlink r:id="rId49">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0"/>
    <w:bookmarkStart w:id="52"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1">
        <w:r>
          <w:rPr>
            <w:rStyle w:val="Hyperlink"/>
          </w:rPr>
          <w:t xml:space="preserve">10.1093/oso/9780195104295.001.0001</w:t>
        </w:r>
      </w:hyperlink>
    </w:p>
    <w:bookmarkEnd w:id="52"/>
    <w:bookmarkStart w:id="54"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53">
        <w:r>
          <w:rPr>
            <w:rStyle w:val="Hyperlink"/>
          </w:rPr>
          <w:t xml:space="preserve">10.1093/acprof:oso/9780199752232.003.0002</w:t>
        </w:r>
      </w:hyperlink>
    </w:p>
    <w:bookmarkEnd w:id="54"/>
    <w:bookmarkStart w:id="5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55"/>
    <w:bookmarkStart w:id="57"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56">
        <w:r>
          <w:rPr>
            <w:rStyle w:val="Hyperlink"/>
          </w:rPr>
          <w:t xml:space="preserve">https://muse.jhu.edu/pub/193/monograph/book/7801</w:t>
        </w:r>
      </w:hyperlink>
    </w:p>
    <w:bookmarkEnd w:id="57"/>
    <w:bookmarkStart w:id="59" w:name="ref-hamptonCorrectingHarmsRighting1991"/>
    <w:p>
      <w:pPr>
        <w:pStyle w:val="Bibliography"/>
      </w:pPr>
      <w:r>
        <w:t xml:space="preserve">Hampton, J. (1991).</w:t>
      </w:r>
      <w:r>
        <w:t xml:space="preserve"> </w:t>
      </w:r>
      <w:hyperlink r:id="rId58">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9"/>
    <w:bookmarkStart w:id="61"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60">
        <w:r>
          <w:rPr>
            <w:rStyle w:val="Hyperlink"/>
          </w:rPr>
          <w:t xml:space="preserve">https://www.justiceinspectorates.gov.uk/hmiprobation/wp-content/uploads/sites/5/2022/11/OMiC-joint-thematic-inspection-report-v1.0.pdf</w:t>
        </w:r>
      </w:hyperlink>
    </w:p>
    <w:bookmarkEnd w:id="61"/>
    <w:bookmarkStart w:id="63" w:name="X42d08177b6d0cf258638f2b74bced87fa6c2818"/>
    <w:p>
      <w:pPr>
        <w:pStyle w:val="Bibliography"/>
      </w:pPr>
      <w:r>
        <w:t xml:space="preserve">Hulley, S., Crewe, B., &amp; Wright, S. (2016).</w:t>
      </w:r>
      <w:r>
        <w:t xml:space="preserve"> </w:t>
      </w:r>
      <w:hyperlink r:id="rId62">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63"/>
    <w:bookmarkStart w:id="65" w:name="ref-jarmanOnlyOneWay2020"/>
    <w:p>
      <w:pPr>
        <w:pStyle w:val="Bibliography"/>
      </w:pPr>
      <w:r>
        <w:t xml:space="preserve">Jarman, B. (2020).</w:t>
      </w:r>
      <w:r>
        <w:t xml:space="preserve"> </w:t>
      </w:r>
      <w:hyperlink r:id="rId6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65"/>
    <w:bookmarkStart w:id="67" w:name="ref-jarmanLifeImprisonmentMature2022"/>
    <w:p>
      <w:pPr>
        <w:pStyle w:val="Bibliography"/>
      </w:pPr>
      <w:r>
        <w:t xml:space="preserve">Jarman, B. (2022).</w:t>
      </w:r>
      <w:r>
        <w:t xml:space="preserve"> </w:t>
      </w:r>
      <w:hyperlink r:id="rId66">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67"/>
    <w:bookmarkStart w:id="69" w:name="ref-jarmanMoralMessagesEthical2024"/>
    <w:p>
      <w:pPr>
        <w:pStyle w:val="Bibliography"/>
      </w:pPr>
      <w:r>
        <w:t xml:space="preserve">Jarman, B. (2024, June 6).</w:t>
      </w:r>
      <w:r>
        <w:t xml:space="preserve"> </w:t>
      </w:r>
      <w:hyperlink r:id="rId68">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69"/>
    <w:bookmarkStart w:id="71" w:name="ref-lieblingPrisonSuicidePrisoner1999"/>
    <w:p>
      <w:pPr>
        <w:pStyle w:val="Bibliography"/>
      </w:pPr>
      <w:r>
        <w:t xml:space="preserve">Liebling, A. (1999).</w:t>
      </w:r>
      <w:r>
        <w:t xml:space="preserve"> </w:t>
      </w:r>
      <w:hyperlink r:id="rId7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71"/>
    <w:bookmarkStart w:id="73" w:name="Xf692faf6327d56e6bb20574938a60f9d9f27a28"/>
    <w:p>
      <w:pPr>
        <w:pStyle w:val="Bibliography"/>
      </w:pPr>
      <w:r>
        <w:t xml:space="preserve">Liebling, A. (2015a).</w:t>
      </w:r>
      <w:r>
        <w:t xml:space="preserve"> </w:t>
      </w:r>
      <w:hyperlink r:id="rId72">
        <w:r>
          <w:rPr>
            <w:rStyle w:val="Hyperlink"/>
          </w:rPr>
          <w:t xml:space="preserve">Appreciative inquiry, generative theory, and the</w:t>
        </w:r>
        <w:r>
          <w:rPr>
            <w:rStyle w:val="Hyperlink"/>
          </w:rPr>
          <w:t xml:space="preserve"> </w:t>
        </w:r>
        <w:r>
          <w:rPr>
            <w:rStyle w:val="Hyperlink"/>
          </w:rPr>
          <w:t xml:space="preserve">‘failed state’</w:t>
        </w:r>
        <w:r>
          <w:rPr>
            <w:rStyle w:val="Hyperlink"/>
          </w:rPr>
          <w:t xml:space="preserve"> </w:t>
        </w:r>
        <w:r>
          <w:rPr>
            <w:rStyle w:val="Hyperlink"/>
          </w:rPr>
          <w:t xml:space="preserve">prison</w:t>
        </w:r>
      </w:hyperlink>
      <w:r>
        <w:t xml:space="preserve">. In J. Miller &amp; W. R. Palacios, eds.,</w:t>
      </w:r>
      <w:r>
        <w:t xml:space="preserve"> </w:t>
      </w:r>
      <w:r>
        <w:rPr>
          <w:i/>
          <w:iCs/>
        </w:rPr>
        <w:t xml:space="preserve">Qualitative Research in Criminology</w:t>
      </w:r>
      <w:r>
        <w:t xml:space="preserve">, online, New York: Routledge, pp. 251–270.</w:t>
      </w:r>
    </w:p>
    <w:bookmarkEnd w:id="73"/>
    <w:bookmarkStart w:id="75" w:name="ref-lieblingDescriptionEdgeIIt2015"/>
    <w:p>
      <w:pPr>
        <w:pStyle w:val="Bibliography"/>
      </w:pPr>
      <w:r>
        <w:t xml:space="preserve">Liebling, A. (2015b).</w:t>
      </w:r>
      <w:r>
        <w:t xml:space="preserve"> </w:t>
      </w:r>
      <w:hyperlink r:id="rId74">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75"/>
    <w:bookmarkStart w:id="77" w:name="ref-lieblingWhatPhilosophyPrison2021"/>
    <w:p>
      <w:pPr>
        <w:pStyle w:val="Bibliography"/>
      </w:pPr>
      <w:r>
        <w:t xml:space="preserve">Liebling, A. (2021).</w:t>
      </w:r>
      <w:r>
        <w:t xml:space="preserve"> </w:t>
      </w:r>
      <w:hyperlink r:id="rId76">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77"/>
    <w:bookmarkStart w:id="79"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8">
        <w:r>
          <w:rPr>
            <w:rStyle w:val="Hyperlink"/>
          </w:rPr>
          <w:t xml:space="preserve">https://assets.publishing.service.gov.uk/government/uploads/system/uploads/attachment_data/file/217381/staff-prisoner-relations-whitemoor.pdf</w:t>
        </w:r>
      </w:hyperlink>
    </w:p>
    <w:bookmarkEnd w:id="79"/>
    <w:bookmarkStart w:id="80" w:name="ref-ministryofjusticeFOIRequestISAS2014"/>
    <w:p>
      <w:pPr>
        <w:pStyle w:val="Bibliography"/>
      </w:pPr>
      <w:r>
        <w:t xml:space="preserve">Ministry of Justice. (2014). FOI request ISAS/FOI 89346, Freedom of Information response.</w:t>
      </w:r>
    </w:p>
    <w:bookmarkEnd w:id="80"/>
    <w:bookmarkStart w:id="82" w:name="Xc73ad580fbb9170a5a28cab9a86cf176ad7fdd9"/>
    <w:p>
      <w:pPr>
        <w:pStyle w:val="Bibliography"/>
      </w:pPr>
      <w:r>
        <w:t xml:space="preserve">Ministry of Justice. (2025).</w:t>
      </w:r>
      <w:r>
        <w:t xml:space="preserve"> </w:t>
      </w:r>
      <w:r>
        <w:rPr>
          <w:i/>
          <w:iCs/>
        </w:rPr>
        <w:t xml:space="preserve">Offender management statistics quarterly: October to December 2024</w:t>
      </w:r>
      <w:r>
        <w:t xml:space="preserve">, Ministry of Justice. Retrieved from</w:t>
      </w:r>
      <w:r>
        <w:t xml:space="preserve"> </w:t>
      </w:r>
      <w:hyperlink r:id="rId81">
        <w:r>
          <w:rPr>
            <w:rStyle w:val="Hyperlink"/>
          </w:rPr>
          <w:t xml:space="preserve">https://www.gov.uk/government/statistics/offender-management-statistics-quarterly-october-to-december-2024</w:t>
        </w:r>
      </w:hyperlink>
    </w:p>
    <w:bookmarkEnd w:id="82"/>
    <w:bookmarkStart w:id="84"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83">
        <w:r>
          <w:rPr>
            <w:rStyle w:val="Hyperlink"/>
          </w:rPr>
          <w:t xml:space="preserve">https://www.gov.uk/government/publications/manage-the-custodial-sentence</w:t>
        </w:r>
      </w:hyperlink>
    </w:p>
    <w:bookmarkEnd w:id="84"/>
    <w:bookmarkStart w:id="86"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85">
        <w:r>
          <w:rPr>
            <w:rStyle w:val="Hyperlink"/>
          </w:rPr>
          <w:t xml:space="preserve">https://www.gov.uk/government/publications/prison-public-protection-policy-framework</w:t>
        </w:r>
      </w:hyperlink>
    </w:p>
    <w:bookmarkEnd w:id="86"/>
    <w:bookmarkStart w:id="88" w:name="ref-moorePlacingBlameTheory2010"/>
    <w:p>
      <w:pPr>
        <w:pStyle w:val="Bibliography"/>
      </w:pPr>
      <w:r>
        <w:t xml:space="preserve">Moore, M. S. (2010).</w:t>
      </w:r>
      <w:r>
        <w:t xml:space="preserve"> </w:t>
      </w:r>
      <w:r>
        <w:rPr>
          <w:i/>
          <w:iCs/>
        </w:rPr>
        <w:t xml:space="preserve">Placing blame: a theory of the criminal law</w:t>
      </w:r>
      <w:r>
        <w:t xml:space="preserve">, Oxford New York: Oxford University Press. doi:</w:t>
      </w:r>
      <w:hyperlink r:id="rId87">
        <w:r>
          <w:rPr>
            <w:rStyle w:val="Hyperlink"/>
          </w:rPr>
          <w:t xml:space="preserve">10.1093/acprof:oso/9780199599493.001.0001</w:t>
        </w:r>
      </w:hyperlink>
    </w:p>
    <w:bookmarkEnd w:id="88"/>
    <w:bookmarkStart w:id="90" w:name="Xc0f26589138960a4dedd90d30c0d0b36ec1b21a"/>
    <w:p>
      <w:pPr>
        <w:pStyle w:val="Bibliography"/>
      </w:pPr>
      <w:r>
        <w:t xml:space="preserve">Office for National Statistics. (2019).</w:t>
      </w:r>
      <w:r>
        <w:t xml:space="preserve"> </w:t>
      </w:r>
      <w:r>
        <w:rPr>
          <w:i/>
          <w:iCs/>
        </w:rPr>
        <w:t xml:space="preserve">Homicide in England and Wales</w:t>
      </w:r>
      <w:r>
        <w:t xml:space="preserve">, Office for National Statistics. Retrieved from</w:t>
      </w:r>
      <w:r>
        <w:t xml:space="preserve"> </w:t>
      </w:r>
      <w:hyperlink r:id="rId89">
        <w:r>
          <w:rPr>
            <w:rStyle w:val="Hyperlink"/>
          </w:rPr>
          <w:t xml:space="preserve">https://www.ons.gov.uk/peoplepopulationandcommunity/crimeandjustice/articles/homicideinenglandandwales/yearendingmarch2018</w:t>
        </w:r>
      </w:hyperlink>
    </w:p>
    <w:bookmarkEnd w:id="90"/>
    <w:bookmarkStart w:id="92" w:name="ref-shinglerTheirLifeYour2020"/>
    <w:p>
      <w:pPr>
        <w:pStyle w:val="Bibliography"/>
      </w:pPr>
      <w:r>
        <w:t xml:space="preserve">Shingler, J., Sonnenberg, S. J., &amp; Needs, A. (2020).</w:t>
      </w:r>
      <w:r>
        <w:t xml:space="preserve"> </w:t>
      </w:r>
      <w:hyperlink r:id="rId91">
        <w:r>
          <w:rPr>
            <w:rStyle w:val="Hyperlink"/>
          </w:rPr>
          <w:t xml:space="preserve">‘Their life in your hands’</w:t>
        </w:r>
        <w:r>
          <w:rPr>
            <w:rStyle w:val="Hyperlink"/>
          </w:rPr>
          <w:t xml:space="preserve">: the experiences of prison-based psychologists conducting risk assessments with indeterminate sentenced prisoners in the United Kingdom</w:t>
        </w:r>
      </w:hyperlink>
      <w:r>
        <w:t xml:space="preserve">.</w:t>
      </w:r>
      <w:r>
        <w:t xml:space="preserve"> </w:t>
      </w:r>
      <w:r>
        <w:rPr>
          <w:i/>
          <w:iCs/>
        </w:rPr>
        <w:t xml:space="preserve">Psychology, Crime &amp; Law</w:t>
      </w:r>
      <w:r>
        <w:t xml:space="preserve">,</w:t>
      </w:r>
      <w:r>
        <w:t xml:space="preserve"> </w:t>
      </w:r>
      <w:r>
        <w:rPr>
          <w:b/>
          <w:bCs/>
        </w:rPr>
        <w:t xml:space="preserve">26</w:t>
      </w:r>
      <w:r>
        <w:t xml:space="preserve">(4), 311–326.</w:t>
      </w:r>
    </w:p>
    <w:bookmarkEnd w:id="92"/>
    <w:bookmarkStart w:id="94"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93">
        <w:r>
          <w:rPr>
            <w:rStyle w:val="Hyperlink"/>
          </w:rPr>
          <w:t xml:space="preserve">10.4324/9780203101124</w:t>
        </w:r>
      </w:hyperlink>
    </w:p>
    <w:bookmarkEnd w:id="94"/>
    <w:bookmarkStart w:id="96" w:name="ref-warrAlwaysGottaBe2020"/>
    <w:p>
      <w:pPr>
        <w:pStyle w:val="Bibliography"/>
      </w:pPr>
      <w:r>
        <w:t xml:space="preserve">Warr, J. (2020).</w:t>
      </w:r>
      <w:r>
        <w:t xml:space="preserve"> </w:t>
      </w:r>
      <w:hyperlink r:id="rId95">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96"/>
    <w:bookmarkStart w:id="98" w:name="ref-williamsMoralLuckPhilosophical1981"/>
    <w:p>
      <w:pPr>
        <w:pStyle w:val="Bibliography"/>
      </w:pPr>
      <w:r>
        <w:t xml:space="preserve">Williams, B. (1981).</w:t>
      </w:r>
      <w:r>
        <w:t xml:space="preserve"> </w:t>
      </w:r>
      <w:r>
        <w:rPr>
          <w:i/>
          <w:iCs/>
        </w:rPr>
        <w:t xml:space="preserve">Moral Luck: Philosophical Papers 1973–1980</w:t>
      </w:r>
      <w:r>
        <w:t xml:space="preserve">, Cambridge: Cambridge University Press. doi:</w:t>
      </w:r>
      <w:hyperlink r:id="rId97">
        <w:r>
          <w:rPr>
            <w:rStyle w:val="Hyperlink"/>
          </w:rPr>
          <w:t xml:space="preserve">10.1017/CBO9781139165860</w:t>
        </w:r>
      </w:hyperlink>
    </w:p>
    <w:bookmarkEnd w:id="98"/>
    <w:bookmarkStart w:id="99"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9"/>
    <w:bookmarkStart w:id="101"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00">
        <w:r>
          <w:rPr>
            <w:rStyle w:val="Hyperlink"/>
          </w:rPr>
          <w:t xml:space="preserve">https://howardleague.org/wp-content/uploads/2024/09/Sentencing-inflation-a-judicial-critique__September-2024-1.pdf</w:t>
        </w:r>
      </w:hyperlink>
    </w:p>
    <w:bookmarkEnd w:id="101"/>
    <w:bookmarkStart w:id="103" w:name="ref-zaibertRethinkingPunishment2018"/>
    <w:p>
      <w:pPr>
        <w:pStyle w:val="Bibliography"/>
      </w:pPr>
      <w:r>
        <w:t xml:space="preserve">Zaibert, L. (2018).</w:t>
      </w:r>
      <w:r>
        <w:t xml:space="preserve"> </w:t>
      </w:r>
      <w:r>
        <w:rPr>
          <w:i/>
          <w:iCs/>
        </w:rPr>
        <w:t xml:space="preserve">Rethinking punishment</w:t>
      </w:r>
      <w:r>
        <w:t xml:space="preserve">, 1st edn, Cambridge University Press. doi:</w:t>
      </w:r>
      <w:hyperlink r:id="rId102">
        <w:r>
          <w:rPr>
            <w:rStyle w:val="Hyperlink"/>
          </w:rPr>
          <w:t xml:space="preserve">10.1017/9781108151740</w:t>
        </w:r>
      </w:hyperlink>
    </w:p>
    <w:bookmarkEnd w:id="103"/>
    <w:bookmarkEnd w:id="104"/>
    <w:bookmarkEnd w:id="10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rPr>
          <w:i/>
          <w:iCs/>
        </w:rPr>
        <w:t xml:space="preserve">Hansard</w:t>
      </w:r>
      <w:r>
        <w:t xml:space="preserve">, HC Deb 20 May 2003 vol 405 c 867–8, 874</w:t>
      </w:r>
    </w:p>
  </w:footnote>
  <w:footnote w:id="23">
    <w:p>
      <w:pPr>
        <w:pStyle w:val="FootnoteText"/>
      </w:pPr>
      <w:r>
        <w:rPr>
          <w:rStyle w:val="FootnoteReference"/>
        </w:rPr>
        <w:footnoteRef/>
      </w:r>
      <w:r>
        <w:t xml:space="preserve"> </w:t>
      </w:r>
      <w:r>
        <w:t xml:space="preserve">All names provided here are pseudonyms. We also include details of age and sentence stage.</w:t>
      </w:r>
    </w:p>
  </w:footnote>
  <w:footnote w:id="2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26">
    <w:p>
      <w:pPr>
        <w:pStyle w:val="FootnoteText"/>
      </w:pPr>
      <w:r>
        <w:rPr>
          <w:rStyle w:val="FootnoteReference"/>
        </w:rPr>
        <w:footnoteRef/>
      </w:r>
      <w:r>
        <w:t xml:space="preserve"> </w:t>
      </w:r>
      <w:r>
        <w:t xml:space="preserve">A third group comprised individuals convicted under Joint Enterprise, who felt—not unwarrantedly—that their convictions or sentences were illegitimate.</w:t>
      </w:r>
    </w:p>
  </w:footnote>
  <w:footnote w:id="2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30">
    <w:p>
      <w:pPr>
        <w:pStyle w:val="FootnoteText"/>
      </w:pPr>
      <w:r>
        <w:rPr>
          <w:rStyle w:val="FootnoteReference"/>
        </w:rPr>
        <w:footnoteRef/>
      </w:r>
      <w:r>
        <w:t xml:space="preserve"> </w:t>
      </w:r>
      <w:r>
        <w:t xml:space="preserve">A discontinued offending behaviour programme, operated under external contract, facilitating encounters between perpetrators and victims of violence.</w:t>
      </w:r>
    </w:p>
  </w:footnote>
  <w:footnote w:id="3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33">
    <w:p>
      <w:pPr>
        <w:pStyle w:val="FootnoteText"/>
      </w:pPr>
      <w:r>
        <w:rPr>
          <w:rStyle w:val="FootnoteReference"/>
        </w:rPr>
        <w:footnoteRef/>
      </w:r>
      <w:r>
        <w:t xml:space="preserve"> </w:t>
      </w:r>
      <w:r>
        <w:t xml:space="preserve">An offending behaviour programme.</w:t>
      </w:r>
    </w:p>
  </w:footnote>
  <w:footnote w:id="34">
    <w:p>
      <w:pPr>
        <w:pStyle w:val="FootnoteText"/>
      </w:pPr>
      <w:r>
        <w:rPr>
          <w:rStyle w:val="FootnoteReference"/>
        </w:rPr>
        <w:footnoteRef/>
      </w:r>
      <w:r>
        <w:t xml:space="preserve"> </w:t>
      </w:r>
      <w:r>
        <w:t xml:space="preserve">A therapeutic prison.</w:t>
      </w:r>
    </w:p>
  </w:footnote>
  <w:footnote w:id="36">
    <w:p>
      <w:pPr>
        <w:pStyle w:val="FootnoteText"/>
      </w:pPr>
      <w:r>
        <w:rPr>
          <w:rStyle w:val="FootnoteReference"/>
        </w:rPr>
        <w:footnoteRef/>
      </w:r>
      <w:r>
        <w:t xml:space="preserve"> </w:t>
      </w:r>
      <w:r>
        <w:t xml:space="preserve">Emphasis added.</w:t>
      </w:r>
    </w:p>
  </w:footnote>
  <w:footnote w:id="37">
    <w:p>
      <w:pPr>
        <w:pStyle w:val="FootnoteText"/>
      </w:pPr>
      <w:r>
        <w:rPr>
          <w:rStyle w:val="FootnoteReference"/>
        </w:rPr>
        <w:footnoteRef/>
      </w:r>
      <w:r>
        <w:t xml:space="preserve"> </w:t>
      </w:r>
      <w:r>
        <w:t xml:space="preserve">Emphasis added.</w:t>
      </w:r>
    </w:p>
  </w:footnote>
  <w:footnote w:id="38">
    <w:p>
      <w:pPr>
        <w:pStyle w:val="FootnoteText"/>
      </w:pPr>
      <w:r>
        <w:rPr>
          <w:rStyle w:val="FootnoteReference"/>
        </w:rPr>
        <w:footnoteRef/>
      </w:r>
      <w:r>
        <w:t xml:space="preserve"> </w:t>
      </w:r>
      <w:r>
        <w:t xml:space="preserve">A shared meal prepared using pooled canteen purchases.</w:t>
      </w:r>
    </w:p>
  </w:footnote>
  <w:footnote w:id="41">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42">
    <w:p>
      <w:pPr>
        <w:pStyle w:val="FootnoteText"/>
      </w:pPr>
      <w:r>
        <w:rPr>
          <w:rStyle w:val="FootnoteReference"/>
        </w:rPr>
        <w:footnoteRef/>
      </w:r>
      <w:r>
        <w:t xml:space="preserve"> </w:t>
      </w:r>
      <w:r>
        <w:t xml:space="preserve">Originally coined by Williams</w:t>
      </w:r>
      <w:r>
        <w:t xml:space="preserve"> </w:t>
      </w:r>
      <w:r>
        <w:t xml:space="preserve">(</w:t>
      </w:r>
      <w:hyperlink w:anchor="ref-williamsMoralLuckPhilosophical1981">
        <w:r>
          <w:rPr>
            <w:rStyle w:val="Hyperlink"/>
          </w:rPr>
          <w:t xml:space="preserve">1981</w:t>
        </w:r>
      </w:hyperlink>
      <w:r>
        <w:t xml:space="preserve">)</w:t>
      </w:r>
      <w:r>
        <w:t xml:space="preserve"> </w:t>
      </w:r>
      <w:r>
        <w:t xml:space="preserve">in his classic work on moral luck,</w:t>
      </w:r>
      <w:r>
        <w:t xml:space="preserve"> </w:t>
      </w:r>
      <w:r>
        <w:t xml:space="preserve">‘agent regret’</w:t>
      </w:r>
      <w:r>
        <w:t xml:space="preserve"> </w:t>
      </w:r>
      <w:r>
        <w:t xml:space="preserve">classifies cases in which someone feels responsible for harmful actions which were nevertheless</w:t>
      </w:r>
      <w:r>
        <w:t xml:space="preserve"> </w:t>
      </w:r>
      <w:r>
        <w:rPr>
          <w:i/>
          <w:iCs/>
        </w:rPr>
        <w:t xml:space="preserve">not wrong</w:t>
      </w:r>
      <w:r>
        <w:t xml:space="preserve">, and distinguishes such feelings from the regret one might experience on witnessing or learning about sad events at second or third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_rels/footnotes.xml.rels><?xml version="1.0" encoding="UTF-8"?><Relationships xmlns="http://schemas.openxmlformats.org/package/2006/relationships"><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2025-11-05T20:57:43Z</dcterms:created>
  <dcterms:modified xsi:type="dcterms:W3CDTF">2025-11-05T20:57:43Z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2025-07-25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