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10" w:name="availability"/>
    <w:p>
      <w:pPr>
        <w:pStyle w:val="Heading1"/>
      </w:pPr>
      <w:r>
        <w:t xml:space="preserve">Availability</w:t>
      </w:r>
    </w:p>
    <w:p>
      <w:pPr>
        <w:pStyle w:val="FirstParagraph"/>
      </w:pPr>
      <w:r>
        <w:t xml:space="preserve">Slides available from</w:t>
      </w:r>
      <w:r>
        <w:t xml:space="preserve"> </w:t>
      </w:r>
      <w:hyperlink r:id="rId9">
        <w:r>
          <w:rPr>
            <w:rStyle w:val="Hyperlink"/>
          </w:rPr>
          <w:t xml:space="preserve">https://www.repository.cam.ac.uk/handle/1810/291516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2026-04-13T09:00:02Z</dcterms:created>
  <dcterms:modified xsi:type="dcterms:W3CDTF">2026-04-13T09:00:02Z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Reflections on the implications of desistance theory for long-term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https://www.repository.cam.ac.uk/handle/1810/291516</vt:lpwstr>
  </property>
</Properties>
</file>