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Author"/>
      </w:pPr>
      <w:r>
        <w:t xml:space="preserve">Alice Ievins</w:t>
      </w:r>
    </w:p>
    <w:p>
      <w:pPr>
        <w:pStyle w:val="Author"/>
      </w:pPr>
      <w:r>
        <w:t xml:space="preserve">Ben Crewe</w:t>
      </w:r>
    </w:p>
    <w:p>
      <w:pPr>
        <w:pStyle w:val="Date"/>
      </w:pPr>
      <w:r>
        <w:t xml:space="preserve">2026-04-10</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prisons as institutions. Classic sociological texts treated prisons as analogous to other organisations, overlooking their punitive role (by which we mean their use as an intentionally denunciatory and pain-inflicting response to legally determined criminal wrongdoing). Most obviously,</w:t>
      </w:r>
      <w:r>
        <w:t xml:space="preserve"> </w:t>
      </w:r>
      <w:r>
        <w:rPr>
          <w:i/>
          <w:iCs/>
        </w:rPr>
        <w:t xml:space="preserve">Asylums</w:t>
      </w:r>
      <w:r>
        <w:t xml:space="preserve"> </w:t>
      </w:r>
      <w:r>
        <w:t xml:space="preserve">(</w:t>
      </w:r>
      <w:hyperlink w:anchor="ref-goffmanAsylumsEssaysSocial1961">
        <w:r>
          <w:rPr>
            <w:rStyle w:val="Hyperlink"/>
          </w:rPr>
          <w:t xml:space="preserve">Goffman 1990</w:t>
        </w:r>
      </w:hyperlink>
      <w:r>
        <w:t xml:space="preserve">)</w:t>
      </w:r>
      <w:r>
        <w:t xml:space="preserve"> </w:t>
      </w:r>
      <w:r>
        <w:t xml:space="preserve">bundled them with monasteries, boarding schools and military barracks as “total institutions”.</w:t>
      </w:r>
      <w:r>
        <w:t xml:space="preserve"> </w:t>
      </w:r>
      <w:r>
        <w:rPr>
          <w:i/>
          <w:iCs/>
        </w:rPr>
        <w:t xml:space="preserve">The Society of Captives</w:t>
      </w:r>
      <w:r>
        <w:t xml:space="preserve"> </w:t>
      </w:r>
      <w:r>
        <w:t xml:space="preserve">likewise saw prisons as systems for</w:t>
      </w:r>
      <w:r>
        <w:t xml:space="preserve"> </w:t>
      </w:r>
      <w:r>
        <w:t xml:space="preserve">“total or almost total social control”</w:t>
      </w:r>
      <w:r>
        <w:t xml:space="preserve"> </w:t>
      </w:r>
      <w:r>
        <w:t xml:space="preserve">(</w:t>
      </w:r>
      <w:hyperlink w:anchor="ref-sykesSocietyCaptivesStudy1958">
        <w:r>
          <w:rPr>
            <w:rStyle w:val="Hyperlink"/>
          </w:rPr>
          <w:t xml:space="preserve">Sykes 1958 p. xiv</w:t>
        </w:r>
      </w:hyperlink>
      <w:r>
        <w:t xml:space="preserve">)</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not as an institution whose purpose and culture relates distinctively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2008</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Prison management has been framed as a technical and generic task, rather than one with particular normative implications, as if imprisonment has</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w:t>
      </w:r>
      <w:r>
        <w:t xml:space="preserve">and exploring the forms of power that prisons impose, the values by which they operate, and the ways prisoners are treated as moral agents. Such work contributes to broader debates about whether,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them, and which can animate how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empirical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nor to centre it analytically. Using three case studies, we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9"/>
    <w:bookmarkStart w:id="10"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their single shared characteristic.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Both examples theorised adaptative styles via categories derived from conviction types and criminal orientations; neither explored how individuals thus categorised reflected upon the meanings of their convictions. A similar approach persisted later, where scholars concerned with prison order continued to feature the offence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to this pattern exist, most prominently in relation to the moral distinctions made about prisoners convicted of sexual offences, including their low status within prisoner hierarchies</w:t>
      </w:r>
      <w:r>
        <w:t xml:space="preserve"> </w:t>
      </w:r>
      <w:r>
        <w:t xml:space="preserve">(</w:t>
      </w:r>
      <w:hyperlink w:anchor="ref-cohenPsychologicalSurvival1981">
        <w:r>
          <w:rPr>
            <w:rStyle w:val="Hyperlink"/>
          </w:rPr>
          <w:t xml:space="preserve">Cohen &amp; Taylor 1981/1972</w:t>
        </w:r>
      </w:hyperlink>
      <w:r>
        <w:t xml:space="preserve">)</w:t>
      </w:r>
      <w:r>
        <w:t xml:space="preserve">, their subjection to intensified staff control</w:t>
      </w:r>
      <w:r>
        <w:t xml:space="preserve"> </w:t>
      </w:r>
      <w:r>
        <w:t xml:space="preserve">(</w:t>
      </w:r>
      <w:hyperlink w:anchor="ref-sparksPrisonsProblemOrder1996">
        <w:r>
          <w:rPr>
            <w:rStyle w:val="Hyperlink"/>
          </w:rPr>
          <w:t xml:space="preserve">Sparks 1996</w:t>
        </w:r>
      </w:hyperlink>
      <w:r>
        <w:t xml:space="preserve">)</w:t>
      </w:r>
      <w:r>
        <w:t xml:space="preserve">, and their increased isolation, guilt and shame</w:t>
      </w:r>
      <w:r>
        <w:t xml:space="preserve"> </w:t>
      </w:r>
      <w:r>
        <w:t xml:space="preserve">(</w:t>
      </w:r>
      <w:hyperlink w:anchor="Xae8f9a76eb5fe7fb36b08ee73fcba34cbb6beb5">
        <w:r>
          <w:rPr>
            <w:rStyle w:val="Hyperlink"/>
          </w:rPr>
          <w:t xml:space="preserve">Sapsford 1979</w:t>
        </w:r>
      </w:hyperlink>
      <w:r>
        <w:t xml:space="preserve">)</w:t>
      </w:r>
      <w:r>
        <w:t xml:space="preserve">. Mathiesen</w:t>
      </w:r>
      <w:r>
        <w:t xml:space="preserve"> </w:t>
      </w:r>
      <w:r>
        <w:t xml:space="preserve">(</w:t>
      </w:r>
      <w:hyperlink w:anchor="Xb5721ec5c9938b01fc4c1e0bbcd2eff661feac8">
        <w:r>
          <w:rPr>
            <w:rStyle w:val="Hyperlink"/>
          </w:rPr>
          <w:t xml:space="preserve">1965</w:t>
        </w:r>
      </w:hyperlink>
      <w:r>
        <w:t xml:space="preserve">)</w:t>
      </w:r>
      <w:r>
        <w:t xml:space="preserve"> </w:t>
      </w:r>
      <w:r>
        <w:t xml:space="preserve">suggested that such prisoners defended their moral status by engaging in</w:t>
      </w:r>
      <w:r>
        <w:t xml:space="preserve"> </w:t>
      </w:r>
      <w:r>
        <w:t xml:space="preserve">“censorious”</w:t>
      </w:r>
      <w:r>
        <w:t xml:space="preserve"> </w:t>
      </w:r>
      <w:r>
        <w:t xml:space="preserve">critique of prison staff. Meanwhile,</w:t>
      </w:r>
      <w:r>
        <w:t xml:space="preserve"> </w:t>
      </w:r>
      <w:r>
        <w:rPr>
          <w:i/>
          <w:iCs/>
        </w:rPr>
        <w:t xml:space="preserve">Psychological Survival</w:t>
      </w:r>
      <w:r>
        <w:t xml:space="preserve"> </w:t>
      </w:r>
      <w:r>
        <w:t xml:space="preserve">(</w:t>
      </w:r>
      <w:hyperlink w:anchor="ref-cohenPsychologicalSurvival1981">
        <w:r>
          <w:rPr>
            <w:rStyle w:val="Hyperlink"/>
          </w:rPr>
          <w:t xml:space="preserve">Cohen &amp; Taylor 1981/1972</w:t>
        </w:r>
      </w:hyperlink>
      <w:r>
        <w:t xml:space="preserve">)</w:t>
      </w:r>
      <w:r>
        <w:t xml:space="preserve"> </w:t>
      </w:r>
      <w:r>
        <w:t xml:space="preserve">addressed guilt and shame only in relation to sex offenders (who it classified as</w:t>
      </w:r>
      <w:r>
        <w:t xml:space="preserve"> </w:t>
      </w:r>
      <w:r>
        <w:t xml:space="preserve">‘sinners’</w:t>
      </w:r>
      <w:r>
        <w:t xml:space="preserve">). Yet a re-analysis of their archived materials uncovered these emotions among all the Durham prisoners, who felt safe to surface these emotions in Cohen and Taylor’s classroom</w:t>
      </w:r>
      <w:r>
        <w:t xml:space="preserve"> </w:t>
      </w:r>
      <w:r>
        <w:t xml:space="preserve">“without worrying about being evaluated”</w:t>
      </w:r>
      <w:r>
        <w:t xml:space="preserve"> </w:t>
      </w:r>
      <w:r>
        <w:t xml:space="preserve">by prison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2020</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2007</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2008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(cf.</w:t>
      </w:r>
      <w:r>
        <w:t xml:space="preserve"> </w:t>
      </w:r>
      <w:hyperlink w:anchor="X376f4432f0a458a8ef978d63ff7e061be0d74ef">
        <w:r>
          <w:rPr>
            <w:rStyle w:val="Hyperlink"/>
          </w:rPr>
          <w:t xml:space="preserve">Schinkel 2014</w:t>
        </w:r>
      </w:hyperlink>
      <w:r>
        <w:t xml:space="preserve">;</w:t>
      </w:r>
      <w:r>
        <w:t xml:space="preserve"> </w:t>
      </w:r>
      <w:hyperlink w:anchor="ref-herbertTooEasyKeep2019">
        <w:r>
          <w:rPr>
            <w:rStyle w:val="Hyperlink"/>
          </w:rPr>
          <w:t xml:space="preserve">Herbert 2019</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and to assert masculine legitimacy in the face of discrediting convictions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also 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Murders in different circumstances carry varying implications for a subject’s felt culpability, while sentences imposed at different ages impact life trajectories and personal narratives differently</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formally via interventions and risk assessments, and informally via spatial segregation, distinctive treatment regimes, and everyday interactions which mark certain people as morally distinct. The resulting censure is often oblique and inconsistent, with prisoners’ interpretations of it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the medium of imprisonment distorts the censuring message.</w:t>
      </w:r>
    </w:p>
    <w:p>
      <w:pPr>
        <w:pStyle w:val="BodyText"/>
      </w:pPr>
      <w:r>
        <w:t xml:space="preserve">Recent research has also characterised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found their offence</w:t>
      </w:r>
      <w:r>
        <w:t xml:space="preserve"> </w:t>
      </w:r>
      <w:r>
        <w:t xml:space="preserve">“unambiguously shameful”</w:t>
      </w:r>
      <w:r>
        <w:t xml:space="preserve">, affecting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2020</w:t>
        </w:r>
      </w:hyperlink>
      <w:r>
        <w:t xml:space="preserve">;</w:t>
      </w:r>
      <w:r>
        <w:t xml:space="preserve"> </w:t>
      </w:r>
      <w:hyperlink w:anchor="ref-daganRevisitingJusticeMoral2025">
        <w:r>
          <w:rPr>
            <w:rStyle w:val="Hyperlink"/>
          </w:rPr>
          <w:t xml:space="preserve">Dagan 2025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informal messages by staff, have also been analysed</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2008</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2021</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used to signify types of people, but seldom analysed either as a moral category, or as an act holding ethical significance for those categorised by it. Recently, though,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In most countries, imprisonment is the archetypal form of punishment, and prisons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Thus, a shift towards questions of purpose is an important step, since the</w:t>
      </w:r>
      <w:r>
        <w:t xml:space="preserve"> </w:t>
      </w:r>
      <w:r>
        <w:rPr>
          <w:i/>
          <w:iCs/>
        </w:rPr>
        <w:t xml:space="preserve">kinds</w:t>
      </w:r>
      <w:r>
        <w:t xml:space="preserve"> </w:t>
      </w:r>
      <w:r>
        <w:t xml:space="preserve">of insight which might be expected will vary.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10"/>
    <w:bookmarkStart w:id="13"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11"/>
      </w:r>
      <w:r>
        <w:t xml:space="preserve"> </w:t>
      </w:r>
      <w:r>
        <w:t xml:space="preserve">holds it inappropriate to ask an incarcerated person directly for details of their offence.</w:t>
      </w:r>
      <w:r>
        <w:rPr>
          <w:rStyle w:val="FootnoteReference"/>
        </w:rPr>
        <w:footnoteReference w:id="12"/>
      </w:r>
      <w:r>
        <w:t xml:space="preserve"> </w:t>
      </w:r>
      <w:r>
        <w:t xml:space="preserve">This norm is framed primarily as an ethical imperative. Asking people</w:t>
      </w:r>
      <w:r>
        <w:t xml:space="preserve"> </w:t>
      </w:r>
      <w:r>
        <w:t xml:space="preserve">“what they are in for”</w:t>
      </w:r>
      <w:r>
        <w:t xml:space="preserv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censure prisoners as</w:t>
      </w:r>
      <w:r>
        <w:t xml:space="preserve"> </w:t>
      </w:r>
      <w:r>
        <w:rPr>
          <w:i/>
          <w:iCs/>
        </w:rPr>
        <w:t xml:space="preserve">bad people</w:t>
      </w:r>
      <w:r>
        <w:t xml:space="preserve">, prison researchers have tended to swerve or reject such judgments. This might reflect ideological or political commitment, as where critical scholars direct judgment towards the carceral institution rather than incarcerated people. More often, however, the norm seems likely to have been transmitted via methodological training and supervision, embedding itself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(though see</w:t>
      </w:r>
      <w:r>
        <w:t xml:space="preserve"> </w:t>
      </w:r>
      <w:hyperlink w:anchor="X376f4432f0a458a8ef978d63ff7e061be0d74ef">
        <w:r>
          <w:rPr>
            <w:rStyle w:val="Hyperlink"/>
          </w:rPr>
          <w:t xml:space="preserve">Schinkel 2014</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of investigation. When researchers study prisoner social relations or penal order, it can appear digressive to discuss prisoners’ thoughts on whether the penalty fits their crime, or their internal battles to maintain a respectable self-image.</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quieter occurrences in more private spaces. Cells, where prisoners spend much of their time, afford headspace for reflection. The offence may be more present there, but methodologically the cell is less accessible. Contemplation and rumination there leave fewer obvious traces in social life.</w:t>
      </w:r>
    </w:p>
    <w:p>
      <w:pPr>
        <w:pStyle w:val="BodyText"/>
      </w:pPr>
      <w:r>
        <w:t xml:space="preserve">Nonetheless, our conjecture is that many prison scholars hear reflections on the implications of prisoners’ offences and convictions but exclude these from their accounts. We find it hard to imagine that anyone interviewing people convicted of serious offences has not been presented with narratives featuring moral emotions like regret, indignation, or defiance; or that those with less serious convictions have not sometimes narrated how and why they landed in their current circumstances, for example by burgling houses or dealing drugs. If violence and other crimes are communicative, then not enquiring about them means ignoring what they attempted to express. To deflect discussion of the offence might be as disrespectful as to probe too deeply.</w:t>
      </w:r>
    </w:p>
    <w:p>
      <w:pPr>
        <w:pStyle w:val="BodyText"/>
      </w:pPr>
      <w:r>
        <w:t xml:space="preserve">How should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misunderstand them. Evaluating narratives purely by their fidelity to the</w:t>
      </w:r>
      <w:r>
        <w:t xml:space="preserve"> </w:t>
      </w:r>
      <w:r>
        <w:t xml:space="preserve">‘established facts of the case’</w:t>
      </w:r>
      <w:r>
        <w:t xml:space="preserve"> </w:t>
      </w:r>
      <w:r>
        <w:t xml:space="preserve">unduly privileges the conviction as a complete and authoritative record, while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Instead, they should be examined for what they reveal about prisons and punishment.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following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they focused directly on the offence to differing degrees, all three projects employed semi-structured interviews that allowed participants to narrate their experiences of imprisonment and relationship to their convictions. All three asked some questions about the offence and/or conviction, and how these impacted people’s sense of self, the prison’s social world, and the extent to which they were a target of power.</w:t>
      </w:r>
    </w:p>
    <w:p>
      <w:pPr>
        <w:pStyle w:val="BodyText"/>
      </w:pPr>
      <w:r>
        <w:t xml:space="preserve">We all felt that participants’ willingness to discuss these matters required us to avoid displaying the shock or revulsion some seemed to anticipate. Existing publications on the ethical considerations involved in interviewing people convicted of serious (and particularly sexual) crimes often focuses on the opposite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research investigates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w:t>
      </w:r>
      <w:r>
        <w:t xml:space="preserve">from recognising the continuing effect of the offence in their lives, via the sense they make from it.</w:t>
      </w:r>
    </w:p>
    <w:p>
      <w:pPr>
        <w:pStyle w:val="BodyText"/>
      </w:pPr>
      <w:r>
        <w:t xml:space="preserve">Our case studies derive initially from separate analytical work carried out by each author. Having independently observed that the offence featured little in prison sociology despite its significance in our own data, and each discussed this in our own work</w:t>
      </w:r>
      <w:r>
        <w:t xml:space="preserve"> </w:t>
      </w:r>
      <w:r>
        <w:t xml:space="preserve">(e.g.</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OnlyOneWay2020">
        <w:r>
          <w:rPr>
            <w:rStyle w:val="Hyperlink"/>
          </w:rPr>
          <w:t xml:space="preserve">Jarman 2020</w:t>
        </w:r>
      </w:hyperlink>
      <w:r>
        <w:t xml:space="preserve">)</w:t>
      </w:r>
      <w:r>
        <w:t xml:space="preserve">, we collaborated to address the gap more directly. To do so, we selected cases that were emblematic, in that they illuminated the analytical framework we propose here.</w:t>
      </w:r>
    </w:p>
    <w:p>
      <w:pPr>
        <w:pStyle w:val="BodyText"/>
      </w:pPr>
      <w:r>
        <w:t xml:space="preserve">Our original studies employed systematic qualitative analysis and followed similar coding procedures (using NVivo in two cases, Atlas.ti in one). Each developed hierarchical coding schemes that combined descriptive codes (e.g. </w:t>
      </w:r>
      <w:r>
        <w:t xml:space="preserve">“the offence”</w:t>
      </w:r>
      <w:r>
        <w:t xml:space="preserve">,</w:t>
      </w:r>
      <w:r>
        <w:t xml:space="preserve"> </w:t>
      </w:r>
      <w:r>
        <w:t xml:space="preserve">“family relationships”</w:t>
      </w:r>
      <w:r>
        <w:t xml:space="preserve">) and conceptual codes (e.g. </w:t>
      </w:r>
      <w:r>
        <w:t xml:space="preserve">“guilt and shame”</w:t>
      </w:r>
      <w:r>
        <w:t xml:space="preserve">,</w:t>
      </w:r>
      <w:r>
        <w:t xml:space="preserve"> </w:t>
      </w:r>
      <w:r>
        <w:t xml:space="preserve">“moral evaluation”</w:t>
      </w:r>
      <w:r>
        <w:t xml:space="preserve">), which were applied both deductively and inductively. For this article, we drew on these existing analyses to identify individuals for whom reflection on the offence seemed especially salient, as evidenced through relevant codes (e.g. </w:t>
      </w:r>
      <w:r>
        <w:t xml:space="preserve">“feeling responsible”</w:t>
      </w:r>
      <w:r>
        <w:t xml:space="preserve">,</w:t>
      </w:r>
      <w:r>
        <w:t xml:space="preserve"> </w:t>
      </w:r>
      <w:r>
        <w:t xml:space="preserve">“being labelled”</w:t>
      </w:r>
      <w:r>
        <w:t xml:space="preserve">). We then reflected on how the offence seemed to have shaped each person’s attitudes towards their wider prison experiences.</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13"/>
    <w:bookmarkStart w:id="19"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We attend both to objective features of the penal setting, and to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we contend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and attempting to mould their reflections on their convictions. Here, we ask what messages prisons transmit about particular offences, and how these are conveyed. They include both explicit communications, such as those occurring via therapeutic intervention or risk assessment, and implicit communications embedded in everyday practices and interactions. Messages are also carried by material practices of treatment and intervention, from staff conduct to direct engagement with prisoners’ offending behaviour. Theoretically, this raises questions about how prisoners interpret the often oblique and inconsistent messages they receive and navigate the various attempts by institutions to influence their attitudes, thinking, and behaviour.</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connects to how we theorise prison legitimacy, and to broader questions about whether imprisonment delivers something more salutary than mere pain, and how its harms can be justified. Such justifications are shaped by the aims of sentencing, and the extent to which these are realised. This is because different penal logics—whether retributive, rehabilitative, deterrent, or incapacitative—imply different messages about wrongdoing. Different penal logics also co-exist within the same institutional context, producing tensions and contradictions. Still, both the content of censure, and the efficacy of prisons in delivering it, are amenable to empirical investigation. This places the offence—how it is understood by both the individual and the institution—centre-stage.</w:t>
      </w:r>
    </w:p>
    <w:bookmarkStart w:id="16" w:name="mick"/>
    <w:p>
      <w:pPr>
        <w:pStyle w:val="Heading3"/>
      </w:pPr>
      <w:r>
        <w:t xml:space="preserve">Mick</w:t>
      </w:r>
    </w:p>
    <w:p>
      <w:pPr>
        <w:pStyle w:val="FirstParagraph"/>
      </w:pPr>
      <w:r>
        <w:t xml:space="preserve">Mick,</w:t>
      </w:r>
      <w:r>
        <w:rPr>
          <w:rStyle w:val="FootnoteReference"/>
        </w:rPr>
        <w:footnoteReference w:id="14"/>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15"/>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16"/>
    <w:bookmarkStart w:id="17"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17"/>
    <w:bookmarkStart w:id="18"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r>
        <w:br/>
      </w:r>
      <w:r>
        <w:t xml:space="preserve">Yes. My religion. [Long pause] My family. Myself.</w:t>
      </w:r>
      <w:r>
        <w:br/>
      </w:r>
      <w:r>
        <w:rPr>
          <w:i/>
          <w:iCs/>
        </w:rPr>
        <w:t xml:space="preserve">You’ve gained yourself?</w:t>
      </w:r>
      <w:r>
        <w:br/>
      </w: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18"/>
    <w:bookmarkEnd w:id="19"/>
    <w:bookmarkStart w:id="21" w:name="discussion"/>
    <w:p>
      <w:pPr>
        <w:pStyle w:val="Heading1"/>
      </w:pPr>
      <w:r>
        <w:t xml:space="preserve">Discussion</w:t>
      </w:r>
    </w:p>
    <w:p>
      <w:pPr>
        <w:pStyle w:val="FirstParagraph"/>
      </w:pPr>
      <w:r>
        <w:t xml:space="preserve">Regarding our first analytical dimension, attending to the offence clarifies</w:t>
      </w:r>
      <w:r>
        <w:t xml:space="preserve"> </w:t>
      </w:r>
      <w:r>
        <w:rPr>
          <w:i/>
          <w:iCs/>
        </w:rPr>
        <w:t xml:space="preserve">what imprisonment is like</w:t>
      </w:r>
      <w:r>
        <w:t xml:space="preserv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typically depict prisoner social dynamics as being driven by urgent needs—for example, to mitigate deprivation, secure safety, defend interests, or protect identity. In this paradigm, the solutions offered by social interaction impel prisoners’ actions in almost mechanical ways. This framework is persuasive but reductive, overlooking how internal moral and psychic drives can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centring the offence. For all three, the importance of the prisoner social world is subordinate to that of coming to terms with feelings of shame and bewilderment relating to the offence. This was most strongly exemplified by Nicholas, who stated explicitly that his outward adjustment had concealed inward turbulence.</w:t>
      </w:r>
    </w:p>
    <w:p>
      <w:pPr>
        <w:pStyle w:val="BodyText"/>
      </w:pPr>
      <w:r>
        <w:t xml:space="preserve">This inner-outer contrast can enrich our understanding of topics of longstanding interest. For example, staff-prisoner relationships have typically been understood through criminal codes, authority orientations, and power disparities</w:t>
      </w:r>
      <w:r>
        <w:t xml:space="preserve"> </w:t>
      </w:r>
      <w:r>
        <w:t xml:space="preserve">(e.g.</w:t>
      </w:r>
      <w:r>
        <w:t xml:space="preserve"> </w:t>
      </w:r>
      <w:hyperlink w:anchor="ref-cohenPsychologicalSurvival1981">
        <w:r>
          <w:rPr>
            <w:rStyle w:val="Hyperlink"/>
          </w:rPr>
          <w:t xml:space="preserve">Cohen &amp; Taylor 1981/1972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about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an undeserved regime, Chris’s general disengagement and resistance to activities he expected to vivify his intrusive thoughts, and Nicholas’s difficulties in accounting for his past actions without therapeutic tutelage. Just as prisoners’ (non)compliance can be motivated by the perceived legitimacy of their treatment</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so too it can be shaped by feelings about the offence for which they are imprisoned.</w:t>
      </w:r>
    </w:p>
    <w:p>
      <w:pPr>
        <w:pStyle w:val="BodyText"/>
      </w:pPr>
      <w:r>
        <w:t xml:space="preserve">The topic of social relations illustrates the same point. How our examples chose to interact with their peers, involve themselves in prisoner society, or self-isolate, cannot be attributed only to their</w:t>
      </w:r>
      <w:r>
        <w:t xml:space="preserve"> </w:t>
      </w:r>
      <w:r>
        <w:t xml:space="preserve">‘problem-solving’</w:t>
      </w:r>
      <w:r>
        <w:t xml:space="preserve">. Their choices also reflect comparative moral evaluations prompted by the offence and the conviction, filtered through emotions like disgust (Mick), the capacity to handle ruminative turmoil (Chris), or the challenges of accounting to others for one’s actions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and not mere</w:t>
      </w:r>
      <w:r>
        <w:t xml:space="preserve"> </w:t>
      </w:r>
      <w:r>
        <w:t xml:space="preserve">‘escape activities’</w:t>
      </w:r>
      <w:r>
        <w:t xml:space="preserve"> </w:t>
      </w:r>
      <w:r>
        <w:t xml:space="preserve">(</w:t>
      </w:r>
      <w:hyperlink w:anchor="ref-goffmanAsylumsEssaysSocial1961">
        <w:r>
          <w:rPr>
            <w:rStyle w:val="Hyperlink"/>
          </w:rPr>
          <w:t xml:space="preserve">Goffman 1990</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our second analytical dimension, considering the offence clarifies</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an explicit target of power—as when prisons seek to equip people with</w:t>
      </w:r>
      <w:r>
        <w:t xml:space="preserve"> </w:t>
      </w:r>
      <w:r>
        <w:t xml:space="preserve">‘skills’</w:t>
      </w:r>
      <w:r>
        <w:t xml:space="preserve"> </w:t>
      </w:r>
      <w:r>
        <w:t xml:space="preserve">which will help them manage their risk in future—and sometimes the basis of organisational categorisation. For example, Mick was categorised as and held among</w:t>
      </w:r>
      <w:r>
        <w:t xml:space="preserve"> </w:t>
      </w:r>
      <w:r>
        <w:t xml:space="preserve">“sex offenders”</w:t>
      </w:r>
      <w:r>
        <w:t xml:space="preserve">, but felt morally distinct from this classification.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of how prisons are organised, influences how people reflect on and relate to their conviction. Our case studies show how moral and penal censure interact with the offence, a process with significant personal consequences. Nicholas offers a rare example of how imprisonment can facilitate a more productive relationship with the self, in his case arising from being supported to</w:t>
      </w:r>
      <w:r>
        <w:t xml:space="preserve"> </w:t>
      </w:r>
      <w:r>
        <w:t xml:space="preserve">“sit with”</w:t>
      </w:r>
      <w:r>
        <w:t xml:space="preserve"> </w:t>
      </w:r>
      <w:r>
        <w:t xml:space="preserve">his culpability.</w:t>
      </w:r>
      <w:r>
        <w:rPr>
          <w:rStyle w:val="FootnoteReference"/>
        </w:rPr>
        <w:footnoteReference w:id="20"/>
      </w:r>
      <w:r>
        <w:t xml:space="preserve"> </w:t>
      </w:r>
      <w:r>
        <w:t xml:space="preserve">Mick, by contrast, felt imprisonment might potentially have helped him</w:t>
      </w:r>
      <w:r>
        <w:t xml:space="preserve"> </w:t>
      </w:r>
      <w:r>
        <w:t xml:space="preserve">“come to terms with everything that’s happened”</w:t>
      </w:r>
      <w:r>
        <w:t xml:space="preserve">, but for experiences of misrecognition and unmerited punishment which blocked this outcome. He oscillated between bitter resentment and profound shame, prompted by the harms for which he did feel responsible. Chris, meanwhile, assumed that the system judged him harshly, in line with his own self-evaluation. Such was the depth of his self-disgust that he neither needed nor wanted external engagement, and could perceive no means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It is a paradox of the modern prison that it has obscured punishment—a hitherto public and participatory procedure—through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Attending to the moral messages prisons convey casts light on their punitive functions. Viewed thus, imprisonment is not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one subject to more stringent justification and different forms of legitimacy.</w:t>
      </w:r>
    </w:p>
    <w:p>
      <w:pPr>
        <w:pStyle w:val="BodyText"/>
      </w:pPr>
      <w:r>
        <w:t xml:space="preserve">Our case studies offer evidence about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this goal.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Therapeutic intervention had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Nicholas’s clearly articulated concern for his victims was striking, as was his view that his obligations to them were not fully discharged. Like Mick, he was troubled that imprisonment denied him the opportunity to apologise to and make amends with the people he had harmed. Both men suffered because their punishment felt like an incomplete ritual, bringing them to the point of desiring repair, but unable to actually achieve it. Their examples reveal how contemporary imprisonment often initiates—without completing—the moral work of censure that punishment is claimed to perform. Seen in this way, prisons thwart the punitive ritual which is claimed to justify their use in the first place.</w:t>
      </w:r>
    </w:p>
    <w:bookmarkEnd w:id="21"/>
    <w:bookmarkStart w:id="23"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research has closely studied these matters, documenting how the subjective moral implications of criminal offences infuse the carceral lifeworld. The prison’s role</w:t>
      </w:r>
      <w:r>
        <w:t xml:space="preserve"> </w:t>
      </w:r>
      <w:r>
        <w:rPr>
          <w:i/>
          <w:iCs/>
        </w:rPr>
        <w:t xml:space="preserve">as a punitive institution</w:t>
      </w:r>
      <w:r>
        <w:t xml:space="preserve"> </w:t>
      </w:r>
      <w:r>
        <w:t xml:space="preserve">should be more central to how we theorise it. Prisons deliberately impose suffering on people whose imputed wrongdoing is deemed to justify it. In wrestling with what they deserve, those people engage with what it means to be punished in a range of ways, including by punishing themselves.</w:t>
      </w:r>
    </w:p>
    <w:p>
      <w:pPr>
        <w:pStyle w:val="BodyText"/>
      </w:pPr>
      <w:r>
        <w:t xml:space="preserve">The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in that the men we discuss here had all been imprisoned for serious violent or sexual offences. While this might appear to limit the applicability of our argument, the analytical framework can extend more broadly.</w:t>
      </w:r>
      <w:r>
        <w:rPr>
          <w:rStyle w:val="FootnoteReference"/>
        </w:rPr>
        <w:footnoteReference w:id="22"/>
      </w:r>
      <w:r>
        <w:t xml:space="preserve"> </w:t>
      </w:r>
      <w:r>
        <w:t xml:space="preserve">Across our studies, the offence was always of some relevance to sentenced prisoners, since regardless of how individuals relate to it psychologically, the conviction always defines the severity of the sentence and shapes progression pathways. Its</w:t>
      </w:r>
      <w:r>
        <w:t xml:space="preserve"> </w:t>
      </w:r>
      <w:r>
        <w:rPr>
          <w:i/>
          <w:iCs/>
        </w:rPr>
        <w:t xml:space="preserve">subjective</w:t>
      </w:r>
      <w:r>
        <w:t xml:space="preserve"> </w:t>
      </w:r>
      <w:r>
        <w:t xml:space="preserve">significance, though, varied considerably. We acknowledge that someone serving a tenth short burglary sentence might not ruminate on one specific offence to an extent that subjugates their other concerns. Hence a less</w:t>
      </w:r>
      <w:r>
        <w:t xml:space="preserve"> </w:t>
      </w:r>
      <w:r>
        <w:t xml:space="preserve">‘weighty’</w:t>
      </w:r>
      <w:r>
        <w:t xml:space="preserve"> </w:t>
      </w:r>
      <w:r>
        <w:t xml:space="preserve">conviction might not always (in our framework) shape what prison</w:t>
      </w:r>
      <w:r>
        <w:t xml:space="preserve"> </w:t>
      </w:r>
      <w:r>
        <w:rPr>
          <w:i/>
          <w:iCs/>
        </w:rPr>
        <w:t xml:space="preserve">is like</w:t>
      </w:r>
      <w:r>
        <w:t xml:space="preserve">. Nonetheless, it will always be analytically significant for understanding how prisons communicate censure (</w:t>
      </w:r>
      <w:r>
        <w:rPr>
          <w:i/>
          <w:iCs/>
        </w:rPr>
        <w:t xml:space="preserve">what they do</w:t>
      </w:r>
      <w:r>
        <w:t xml:space="preserve">), and what purposes they serve (</w:t>
      </w:r>
      <w:r>
        <w:rPr>
          <w:i/>
          <w:iCs/>
        </w:rPr>
        <w:t xml:space="preserve">what they are for</w:t>
      </w:r>
      <w:r>
        <w:t xml:space="preserve">). Moreover, less serious convictions may still hold subjective significance: people serving repeated short sentences grapple with and act upon feelings of shame, resentment and existential futility</w:t>
      </w:r>
      <w:r>
        <w:t xml:space="preserve"> </w:t>
      </w:r>
      <w:r>
        <w:t xml:space="preserve">(e.g.</w:t>
      </w:r>
      <w:r>
        <w:t xml:space="preserve"> </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and when accumulated penal harms vastly exceed the gravity of any individual conviction, the very meaninglessness people experience might also reveal something important about what prisons are</w:t>
      </w:r>
      <w:r>
        <w:t xml:space="preserve"> </w:t>
      </w:r>
      <w:r>
        <w:rPr>
          <w:i/>
          <w:iCs/>
        </w:rPr>
        <w:t xml:space="preserve">for</w:t>
      </w:r>
      <w:r>
        <w:t xml:space="preserve">.</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23"/>
    <w:bookmarkStart w:id="146" w:name="references"/>
    <w:p>
      <w:pPr>
        <w:pStyle w:val="Heading1"/>
      </w:pPr>
      <w:r>
        <w:t xml:space="preserve">References</w:t>
      </w:r>
    </w:p>
    <w:bookmarkStart w:id="145" w:name="refs"/>
    <w:bookmarkStart w:id="25" w:name="X5541ede60ea981975e56ecbc8f3dc582979a802"/>
    <w:p>
      <w:pPr>
        <w:pStyle w:val="Bibliography"/>
      </w:pPr>
      <w:r>
        <w:t xml:space="preserve">Armstrong, S., &amp; Weaver, B. (2013).</w:t>
      </w:r>
      <w:r>
        <w:t xml:space="preserve"> </w:t>
      </w:r>
      <w:hyperlink r:id="rId24">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25"/>
    <w:bookmarkStart w:id="27" w:name="X380135df46556ce78bd2024f909ff3112a761cb"/>
    <w:p>
      <w:pPr>
        <w:pStyle w:val="Bibliography"/>
      </w:pPr>
      <w:r>
        <w:t xml:space="preserve">Blagden, N., &amp; Pemberton, S. (2010).</w:t>
      </w:r>
      <w:r>
        <w:t xml:space="preserve"> </w:t>
      </w:r>
      <w:hyperlink r:id="rId26">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27"/>
    <w:bookmarkStart w:id="28"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28"/>
    <w:bookmarkStart w:id="29"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29"/>
    <w:bookmarkStart w:id="30" w:name="ref-cohenPsychologicalSurvival1981"/>
    <w:p>
      <w:pPr>
        <w:pStyle w:val="Bibliography"/>
      </w:pPr>
      <w:r>
        <w:t xml:space="preserve">Cohen, S., &amp; Taylor, L. (1981).</w:t>
      </w:r>
      <w:r>
        <w:t xml:space="preserve"> </w:t>
      </w:r>
      <w:r>
        <w:rPr>
          <w:i/>
          <w:iCs/>
        </w:rPr>
        <w:t xml:space="preserve">Psychological survival</w:t>
      </w:r>
      <w:r>
        <w:t xml:space="preserve">, 2., Harmondsworth: Penguin Books. (Original work published 1972)</w:t>
      </w:r>
    </w:p>
    <w:bookmarkEnd w:id="30"/>
    <w:bookmarkStart w:id="32"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31">
        <w:r>
          <w:rPr>
            <w:rStyle w:val="Hyperlink"/>
          </w:rPr>
          <w:t xml:space="preserve">10.1093/acprof:oso/9780199577965.001.0001/</w:t>
        </w:r>
      </w:hyperlink>
    </w:p>
    <w:bookmarkEnd w:id="32"/>
    <w:bookmarkStart w:id="34" w:name="ref-creweDepthWeightTightness2011"/>
    <w:p>
      <w:pPr>
        <w:pStyle w:val="Bibliography"/>
      </w:pPr>
      <w:r>
        <w:t xml:space="preserve">Crewe, B. (2011).</w:t>
      </w:r>
      <w:r>
        <w:t xml:space="preserve"> </w:t>
      </w:r>
      <w:hyperlink r:id="rId33">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34"/>
    <w:bookmarkStart w:id="36" w:name="ref-creweGenderedPainsLife2017"/>
    <w:p>
      <w:pPr>
        <w:pStyle w:val="Bibliography"/>
      </w:pPr>
      <w:r>
        <w:t xml:space="preserve">Crewe, B., Hulley, S., &amp; Wright, S. (2017).</w:t>
      </w:r>
      <w:r>
        <w:t xml:space="preserve"> </w:t>
      </w:r>
      <w:hyperlink r:id="rId35">
        <w:r>
          <w:rPr>
            <w:rStyle w:val="Hyperlink"/>
          </w:rPr>
          <w:t xml:space="preserve">The Gendered Pains of Life Imprisonment</w:t>
        </w:r>
      </w:hyperlink>
      <w:r>
        <w:t xml:space="preserve">.</w:t>
      </w:r>
      <w:r>
        <w:t xml:space="preserve"> </w:t>
      </w:r>
      <w:r>
        <w:rPr>
          <w:i/>
          <w:iCs/>
        </w:rPr>
        <w:t xml:space="preserve">British Journal of Criminology</w:t>
      </w:r>
      <w:r>
        <w:t xml:space="preserve">,</w:t>
      </w:r>
      <w:r>
        <w:t xml:space="preserve"> </w:t>
      </w:r>
      <w:r>
        <w:rPr>
          <w:b/>
          <w:bCs/>
        </w:rPr>
        <w:t xml:space="preserve">57</w:t>
      </w:r>
      <w:r>
        <w:t xml:space="preserve">(6), azw088.</w:t>
      </w:r>
    </w:p>
    <w:bookmarkEnd w:id="36"/>
    <w:bookmarkStart w:id="37"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Palgrave Macmillan.</w:t>
      </w:r>
    </w:p>
    <w:bookmarkEnd w:id="37"/>
    <w:bookmarkStart w:id="39" w:name="ref-creweClosenessDistanceHonesty2015"/>
    <w:p>
      <w:pPr>
        <w:pStyle w:val="Bibliography"/>
      </w:pPr>
      <w:r>
        <w:t xml:space="preserve">Crewe, B., &amp; Ievins, A. (2015).</w:t>
      </w:r>
      <w:r>
        <w:t xml:space="preserve"> </w:t>
      </w:r>
      <w:hyperlink r:id="rId38">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39"/>
    <w:bookmarkStart w:id="41" w:name="ref-creweTightnessRecognitionPenal2021"/>
    <w:p>
      <w:pPr>
        <w:pStyle w:val="Bibliography"/>
      </w:pPr>
      <w:r>
        <w:t xml:space="preserve">Crewe, B., &amp; Ievins, A. (2020).</w:t>
      </w:r>
      <w:r>
        <w:t xml:space="preserve"> </w:t>
      </w:r>
      <w:hyperlink r:id="rId40">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1"/>
    <w:bookmarkStart w:id="43" w:name="ref-creweNordicPenalExceptionalism2023"/>
    <w:p>
      <w:pPr>
        <w:pStyle w:val="Bibliography"/>
      </w:pPr>
      <w:r>
        <w:t xml:space="preserve">Crewe, B., Ievins, A., Larmour, S., Laursen, J., Mjåland, K., &amp; Schliehe, A. (2022).</w:t>
      </w:r>
      <w:r>
        <w:t xml:space="preserve"> </w:t>
      </w:r>
      <w:hyperlink r:id="rId42">
        <w:r>
          <w:rPr>
            <w:rStyle w:val="Hyperlink"/>
          </w:rPr>
          <w:t xml:space="preserve">Nordic Penal Exceptionalism: A Comparative, Empirical Analysis</w:t>
        </w:r>
      </w:hyperlink>
      <w:r>
        <w:t xml:space="preserve">.</w:t>
      </w:r>
      <w:r>
        <w:t xml:space="preserve"> </w:t>
      </w:r>
      <w:r>
        <w:rPr>
          <w:i/>
          <w:iCs/>
        </w:rPr>
        <w:t xml:space="preserve">The British Journal of Criminology</w:t>
      </w:r>
      <w:r>
        <w:t xml:space="preserve">,</w:t>
      </w:r>
      <w:r>
        <w:t xml:space="preserve"> </w:t>
      </w:r>
      <w:r>
        <w:rPr>
          <w:b/>
          <w:bCs/>
        </w:rPr>
        <w:t xml:space="preserve">63</w:t>
      </w:r>
      <w:r>
        <w:t xml:space="preserve">(2), 424–443.</w:t>
      </w:r>
    </w:p>
    <w:bookmarkEnd w:id="43"/>
    <w:bookmarkStart w:id="45" w:name="ref-daganRevisitingJusticeMoral2025"/>
    <w:p>
      <w:pPr>
        <w:pStyle w:val="Bibliography"/>
      </w:pPr>
      <w:r>
        <w:t xml:space="preserve">Dagan, N. (2025).</w:t>
      </w:r>
      <w:r>
        <w:t xml:space="preserve"> </w:t>
      </w:r>
      <w:r>
        <w:rPr>
          <w:i/>
          <w:iCs/>
        </w:rPr>
        <w:t xml:space="preserve">Revisiting Justice: The Moral Meaning of Parole</w:t>
      </w:r>
      <w:r>
        <w:t xml:space="preserve">, 1st edn, Cambridge: Cambridge University Press. doi:</w:t>
      </w:r>
      <w:hyperlink r:id="rId44">
        <w:r>
          <w:rPr>
            <w:rStyle w:val="Hyperlink"/>
          </w:rPr>
          <w:t xml:space="preserve">10.1017/9781009587709</w:t>
        </w:r>
      </w:hyperlink>
    </w:p>
    <w:bookmarkEnd w:id="45"/>
    <w:bookmarkStart w:id="47" w:name="ref-dimarcoHomicideTurningPoint2022"/>
    <w:p>
      <w:pPr>
        <w:pStyle w:val="Bibliography"/>
      </w:pPr>
      <w:r>
        <w:t xml:space="preserve">Di Marco, M. H. (2022).</w:t>
      </w:r>
      <w:r>
        <w:t xml:space="preserve"> </w:t>
      </w:r>
      <w:hyperlink r:id="rId4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47"/>
    <w:bookmarkStart w:id="4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48"/>
    <w:bookmarkStart w:id="4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Palgrave Macmillan.</w:t>
      </w:r>
    </w:p>
    <w:bookmarkEnd w:id="49"/>
    <w:bookmarkStart w:id="5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0">
        <w:r>
          <w:rPr>
            <w:rStyle w:val="Hyperlink"/>
          </w:rPr>
          <w:t xml:space="preserve">10.1093/oso/9780195104295.001.0001</w:t>
        </w:r>
      </w:hyperlink>
    </w:p>
    <w:bookmarkEnd w:id="51"/>
    <w:bookmarkStart w:id="53" w:name="ref-durkheimTwoLawsPenal1973"/>
    <w:p>
      <w:pPr>
        <w:pStyle w:val="Bibliography"/>
      </w:pPr>
      <w:r>
        <w:t xml:space="preserve">Durkheim, E. (1973).</w:t>
      </w:r>
      <w:r>
        <w:t xml:space="preserve"> </w:t>
      </w:r>
      <w:hyperlink r:id="rId52">
        <w:r>
          <w:rPr>
            <w:rStyle w:val="Hyperlink"/>
          </w:rPr>
          <w:t xml:space="preserve">Two laws of penal evolution</w:t>
        </w:r>
        <w:r>
          <w:rPr>
            <w:rStyle w:val="Hyperlink"/>
            <w:vertAlign w:val="superscript"/>
          </w:rPr>
          <w:t xml:space="preserve">∗</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53"/>
    <w:bookmarkStart w:id="55" w:name="ref-dykeHowParoleBoard2020"/>
    <w:p>
      <w:pPr>
        <w:pStyle w:val="Bibliography"/>
      </w:pPr>
      <w:r>
        <w:t xml:space="preserve">Dyke, C., Schucan Bird, K., &amp; Rivas, C. (2020).</w:t>
      </w:r>
      <w:r>
        <w:t xml:space="preserve"> </w:t>
      </w:r>
      <w:hyperlink r:id="rId5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55"/>
    <w:bookmarkStart w:id="57" w:name="ref-feeleyNewPenologyNotes1992"/>
    <w:p>
      <w:pPr>
        <w:pStyle w:val="Bibliography"/>
      </w:pPr>
      <w:r>
        <w:t xml:space="preserve">Feeley, M. M., &amp; Simon, J. (1992).</w:t>
      </w:r>
      <w:r>
        <w:t xml:space="preserve"> </w:t>
      </w:r>
      <w:hyperlink r:id="rId5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57"/>
    <w:bookmarkStart w:id="59" w:name="Xf7caac3058b6036e15ce3ad95fbe27ac927e0b0"/>
    <w:p>
      <w:pPr>
        <w:pStyle w:val="Bibliography"/>
      </w:pPr>
      <w:r>
        <w:t xml:space="preserve">Fielding, N. G., &amp; Fielding, J. L. (2008).</w:t>
      </w:r>
      <w:r>
        <w:t xml:space="preserve"> </w:t>
      </w:r>
      <w:hyperlink r:id="rId5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59"/>
    <w:bookmarkStart w:id="61" w:name="X4c70a7ba480f72dfb91901b19638543f794bc87"/>
    <w:p>
      <w:pPr>
        <w:pStyle w:val="Bibliography"/>
      </w:pPr>
      <w:r>
        <w:t xml:space="preserve">Flanagan, T. J. (1982).</w:t>
      </w:r>
      <w:r>
        <w:t xml:space="preserve"> </w:t>
      </w:r>
      <w:hyperlink r:id="rId6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61"/>
    <w:bookmarkStart w:id="62" w:name="ref-foucaultDisciplinePunishBirth1995"/>
    <w:p>
      <w:pPr>
        <w:pStyle w:val="Bibliography"/>
      </w:pPr>
      <w:r>
        <w:t xml:space="preserve">Foucault, M. (1995).</w:t>
      </w:r>
      <w:r>
        <w:t xml:space="preserve"> </w:t>
      </w:r>
      <w:r>
        <w:rPr>
          <w:i/>
          <w:iCs/>
        </w:rPr>
        <w:t xml:space="preserve">Discipline and punish</w:t>
      </w:r>
      <w:r>
        <w:t xml:space="preserve">. (A. Sheridan, Trans.), Second Vintage books edition, New York: Vintage Books. (Original work published 1977)</w:t>
      </w:r>
    </w:p>
    <w:bookmarkEnd w:id="62"/>
    <w:bookmarkStart w:id="64" w:name="ref-foxChangingViolentMinds1999"/>
    <w:p>
      <w:pPr>
        <w:pStyle w:val="Bibliography"/>
      </w:pPr>
      <w:r>
        <w:t xml:space="preserve">Fox, K. J. (1999).</w:t>
      </w:r>
      <w:r>
        <w:t xml:space="preserve"> </w:t>
      </w:r>
      <w:hyperlink r:id="rId6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64"/>
    <w:bookmarkStart w:id="65"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65"/>
    <w:bookmarkStart w:id="66" w:name="ref-goffmanAsylumsEssaysSocial1961"/>
    <w:p>
      <w:pPr>
        <w:pStyle w:val="Bibliography"/>
      </w:pPr>
      <w:r>
        <w:t xml:space="preserve">Goffman, E. (1990).</w:t>
      </w:r>
      <w:r>
        <w:t xml:space="preserve"> </w:t>
      </w:r>
      <w:r>
        <w:rPr>
          <w:i/>
          <w:iCs/>
        </w:rPr>
        <w:t xml:space="preserve">Asylums</w:t>
      </w:r>
      <w:r>
        <w:t xml:space="preserve">, New York: Doubleday.</w:t>
      </w:r>
    </w:p>
    <w:bookmarkEnd w:id="66"/>
    <w:bookmarkStart w:id="6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 University of California Press.</w:t>
      </w:r>
    </w:p>
    <w:bookmarkEnd w:id="67"/>
    <w:bookmarkStart w:id="69" w:name="ref-hulleyMoralWeightMurder2025"/>
    <w:p>
      <w:pPr>
        <w:pStyle w:val="Bibliography"/>
      </w:pPr>
      <w:r>
        <w:t xml:space="preserve">Hulley, S. (2025).</w:t>
      </w:r>
      <w:r>
        <w:t xml:space="preserve"> </w:t>
      </w:r>
      <w:hyperlink r:id="rId68">
        <w:r>
          <w:rPr>
            <w:rStyle w:val="Hyperlink"/>
          </w:rPr>
          <w:t xml:space="preserve">The Moral Weight of Murder</w:t>
        </w:r>
      </w:hyperlink>
      <w:r>
        <w:t xml:space="preserve">.</w:t>
      </w:r>
      <w:r>
        <w:t xml:space="preserve"> </w:t>
      </w:r>
      <w:r>
        <w:rPr>
          <w:i/>
          <w:iCs/>
        </w:rPr>
        <w:t xml:space="preserve">The British Journal of Criminology</w:t>
      </w:r>
      <w:r>
        <w:t xml:space="preserve">, 0–26.</w:t>
      </w:r>
    </w:p>
    <w:bookmarkEnd w:id="69"/>
    <w:bookmarkStart w:id="71" w:name="Xefc0d666610422da87ed25de52f1e295f7b90be"/>
    <w:p>
      <w:pPr>
        <w:pStyle w:val="Bibliography"/>
      </w:pPr>
      <w:r>
        <w:t xml:space="preserve">Ievins, A. (2020). ‘Perfectly individualized and constantly visible’?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70">
        <w:r>
          <w:rPr>
            <w:rStyle w:val="Hyperlink"/>
          </w:rPr>
          <w:t xml:space="preserve">10.1177/2632666320936433</w:t>
        </w:r>
      </w:hyperlink>
    </w:p>
    <w:bookmarkEnd w:id="71"/>
    <w:bookmarkStart w:id="73" w:name="ref-ievinsStainsImprisonmentMoral2023"/>
    <w:p>
      <w:pPr>
        <w:pStyle w:val="Bibliography"/>
      </w:pPr>
      <w:r>
        <w:t xml:space="preserve">Ievins, A. (2023).</w:t>
      </w:r>
      <w:r>
        <w:t xml:space="preserve"> </w:t>
      </w:r>
      <w:r>
        <w:rPr>
          <w:i/>
          <w:iCs/>
        </w:rPr>
        <w:t xml:space="preserve">The Stains of Imprisonment</w:t>
      </w:r>
      <w:r>
        <w:t xml:space="preserve">, Oakland, CA: University of California Press. doi:</w:t>
      </w:r>
      <w:hyperlink r:id="rId72">
        <w:r>
          <w:rPr>
            <w:rStyle w:val="Hyperlink"/>
          </w:rPr>
          <w:t xml:space="preserve">10.1525/luminos.143</w:t>
        </w:r>
      </w:hyperlink>
    </w:p>
    <w:bookmarkEnd w:id="73"/>
    <w:bookmarkStart w:id="75" w:name="ref-ievinsNobodysBetterYou2015"/>
    <w:p>
      <w:pPr>
        <w:pStyle w:val="Bibliography"/>
      </w:pPr>
      <w:r>
        <w:t xml:space="preserve">Ievins, A., &amp; Crewe, B. (2015).</w:t>
      </w:r>
      <w:r>
        <w:t xml:space="preserve"> </w:t>
      </w:r>
      <w:hyperlink r:id="rId74">
        <w:r>
          <w:rPr>
            <w:rStyle w:val="Hyperlink"/>
          </w:rPr>
          <w:t xml:space="preserve">‘Nobody’s better than you, nobody’s worse than you’: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75"/>
    <w:bookmarkStart w:id="77" w:name="X85177d50acd38f5f89ed10b0bbd580224017b21"/>
    <w:p>
      <w:pPr>
        <w:pStyle w:val="Bibliography"/>
      </w:pPr>
      <w:r>
        <w:t xml:space="preserve">Ievins, A., &amp; Mjåland, K. (2021).</w:t>
      </w:r>
      <w:r>
        <w:t xml:space="preserve"> </w:t>
      </w:r>
      <w:hyperlink r:id="rId76">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77"/>
    <w:bookmarkStart w:id="78" w:name="ref-irwinPrisonsTurmoil1980"/>
    <w:p>
      <w:pPr>
        <w:pStyle w:val="Bibliography"/>
      </w:pPr>
      <w:r>
        <w:t xml:space="preserve">Irwin, J. (1980).</w:t>
      </w:r>
      <w:r>
        <w:t xml:space="preserve"> </w:t>
      </w:r>
      <w:r>
        <w:rPr>
          <w:i/>
          <w:iCs/>
        </w:rPr>
        <w:t xml:space="preserve">Prisons in turmoil</w:t>
      </w:r>
      <w:r>
        <w:t xml:space="preserve">, Boston: Little, Brown.</w:t>
      </w:r>
    </w:p>
    <w:bookmarkEnd w:id="78"/>
    <w:bookmarkStart w:id="79" w:name="ref-irwinLifersSeekingRedemption2009"/>
    <w:p>
      <w:pPr>
        <w:pStyle w:val="Bibliography"/>
      </w:pPr>
      <w:r>
        <w:t xml:space="preserve">Irwin, J. (2008).</w:t>
      </w:r>
      <w:r>
        <w:t xml:space="preserve"> </w:t>
      </w:r>
      <w:r>
        <w:rPr>
          <w:i/>
          <w:iCs/>
        </w:rPr>
        <w:t xml:space="preserve">Lifers</w:t>
      </w:r>
      <w:r>
        <w:t xml:space="preserve">, New York, NY: Routledge.</w:t>
      </w:r>
    </w:p>
    <w:bookmarkEnd w:id="79"/>
    <w:bookmarkStart w:id="81" w:name="ref-irwinThievesConvictsInmate1962"/>
    <w:p>
      <w:pPr>
        <w:pStyle w:val="Bibliography"/>
      </w:pPr>
      <w:r>
        <w:t xml:space="preserve">Irwin, J., &amp; Cressey, D. R. (1962).</w:t>
      </w:r>
      <w:r>
        <w:t xml:space="preserve"> </w:t>
      </w:r>
      <w:hyperlink r:id="rId80">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81"/>
    <w:bookmarkStart w:id="82"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82"/>
    <w:bookmarkStart w:id="84" w:name="ref-jarmanOnlyOneWay2020"/>
    <w:p>
      <w:pPr>
        <w:pStyle w:val="Bibliography"/>
      </w:pPr>
      <w:r>
        <w:t xml:space="preserve">Jarman, B. (2020).</w:t>
      </w:r>
      <w:r>
        <w:t xml:space="preserve"> </w:t>
      </w:r>
      <w:hyperlink r:id="rId83">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84"/>
    <w:bookmarkStart w:id="86" w:name="ref-jarmanMoralMessagesEthical2024"/>
    <w:p>
      <w:pPr>
        <w:pStyle w:val="Bibliography"/>
      </w:pPr>
      <w:r>
        <w:t xml:space="preserve">Jarman, B. (2024, June 6).</w:t>
      </w:r>
      <w:r>
        <w:t xml:space="preserve"> </w:t>
      </w:r>
      <w:r>
        <w:rPr>
          <w:i/>
          <w:iCs/>
        </w:rPr>
        <w:t xml:space="preserve">Moral messages, ethical responses: Punishment and self-governance among men serving life sentences for murder</w:t>
      </w:r>
      <w:r>
        <w:t xml:space="preserve"> </w:t>
      </w:r>
      <w:r>
        <w:t xml:space="preserve">(PhD), University of Cambridge, Cambridge. Retrieved from</w:t>
      </w:r>
      <w:r>
        <w:t xml:space="preserve"> </w:t>
      </w:r>
      <w:hyperlink r:id="rId85">
        <w:r>
          <w:rPr>
            <w:rStyle w:val="Hyperlink"/>
          </w:rPr>
          <w:t xml:space="preserve">https://www.repository.cam.ac.uk/handle/1810/369145</w:t>
        </w:r>
      </w:hyperlink>
    </w:p>
    <w:bookmarkEnd w:id="86"/>
    <w:bookmarkStart w:id="88"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87">
        <w:r>
          <w:rPr>
            <w:rStyle w:val="Hyperlink"/>
          </w:rPr>
          <w:t xml:space="preserve">10.1177/26326663221074263</w:t>
        </w:r>
      </w:hyperlink>
    </w:p>
    <w:bookmarkEnd w:id="88"/>
    <w:bookmarkStart w:id="90" w:name="ref-lacombeConsumedSexTreatment2008"/>
    <w:p>
      <w:pPr>
        <w:pStyle w:val="Bibliography"/>
      </w:pPr>
      <w:r>
        <w:t xml:space="preserve">Lacombe, D. (2007).</w:t>
      </w:r>
      <w:r>
        <w:t xml:space="preserve"> </w:t>
      </w:r>
      <w:hyperlink r:id="rId89">
        <w:r>
          <w:rPr>
            <w:rStyle w:val="Hyperlink"/>
          </w:rPr>
          <w:t xml:space="preserve">Consumed With Sex: The Treatment of Sex Offenders In Risk Society</w:t>
        </w:r>
      </w:hyperlink>
      <w:r>
        <w:t xml:space="preserve">.</w:t>
      </w:r>
      <w:r>
        <w:t xml:space="preserve"> </w:t>
      </w:r>
      <w:r>
        <w:rPr>
          <w:i/>
          <w:iCs/>
        </w:rPr>
        <w:t xml:space="preserve">British Journal of Criminology</w:t>
      </w:r>
      <w:r>
        <w:t xml:space="preserve">,</w:t>
      </w:r>
      <w:r>
        <w:t xml:space="preserve"> </w:t>
      </w:r>
      <w:r>
        <w:rPr>
          <w:b/>
          <w:bCs/>
        </w:rPr>
        <w:t xml:space="preserve">48</w:t>
      </w:r>
      <w:r>
        <w:t xml:space="preserve">(1), 55–74.</w:t>
      </w:r>
    </w:p>
    <w:bookmarkEnd w:id="90"/>
    <w:bookmarkStart w:id="92"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91">
        <w:r>
          <w:rPr>
            <w:rStyle w:val="Hyperlink"/>
          </w:rPr>
          <w:t xml:space="preserve">10.1177/26326663251320862</w:t>
        </w:r>
      </w:hyperlink>
    </w:p>
    <w:bookmarkEnd w:id="92"/>
    <w:bookmarkStart w:id="94"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93">
        <w:r>
          <w:rPr>
            <w:rStyle w:val="Hyperlink"/>
          </w:rPr>
          <w:t xml:space="preserve">10.1007/978-3-030-96083-4</w:t>
        </w:r>
      </w:hyperlink>
    </w:p>
    <w:bookmarkEnd w:id="94"/>
    <w:bookmarkStart w:id="95" w:name="ref-lieblingPrisonsTheirMoral2005"/>
    <w:p>
      <w:pPr>
        <w:pStyle w:val="Bibliography"/>
      </w:pPr>
      <w:r>
        <w:t xml:space="preserve">Liebling, A. (2005).</w:t>
      </w:r>
      <w:r>
        <w:t xml:space="preserve"> </w:t>
      </w:r>
      <w:r>
        <w:rPr>
          <w:i/>
          <w:iCs/>
        </w:rPr>
        <w:t xml:space="preserve">Prisons and their moral performance: a study of values, quality, and prison life</w:t>
      </w:r>
      <w:r>
        <w:t xml:space="preserve">, Oxford: Oxford University Press.</w:t>
      </w:r>
    </w:p>
    <w:bookmarkEnd w:id="95"/>
    <w:bookmarkStart w:id="9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96">
        <w:r>
          <w:rPr>
            <w:rStyle w:val="Hyperlink"/>
          </w:rPr>
          <w:t xml:space="preserve">10.1177/26326663251320813</w:t>
        </w:r>
      </w:hyperlink>
    </w:p>
    <w:bookmarkEnd w:id="97"/>
    <w:bookmarkStart w:id="98"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98"/>
    <w:bookmarkStart w:id="100" w:name="ref-marunaWhatHaveWe2005"/>
    <w:p>
      <w:pPr>
        <w:pStyle w:val="Bibliography"/>
      </w:pPr>
      <w:r>
        <w:t xml:space="preserve">Maruna, S., &amp; Copes, H. (2005).</w:t>
      </w:r>
      <w:r>
        <w:t xml:space="preserve"> </w:t>
      </w:r>
      <w:hyperlink r:id="rId99">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0"/>
    <w:bookmarkStart w:id="10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01"/>
    <w:bookmarkStart w:id="103" w:name="ref-mcdermottMindGamesWhere1988"/>
    <w:p>
      <w:pPr>
        <w:pStyle w:val="Bibliography"/>
      </w:pPr>
      <w:r>
        <w:t xml:space="preserve">MCDERMOTT, K., &amp; KING, R. D. (1988).</w:t>
      </w:r>
      <w:r>
        <w:t xml:space="preserve"> </w:t>
      </w:r>
      <w:hyperlink r:id="rId102">
        <w:r>
          <w:rPr>
            <w:rStyle w:val="Hyperlink"/>
          </w:rPr>
          <w:t xml:space="preserve">MIND GAMES</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357–375.</w:t>
      </w:r>
    </w:p>
    <w:bookmarkEnd w:id="103"/>
    <w:bookmarkStart w:id="105" w:name="ref-mcneillFourFormsOffender2012"/>
    <w:p>
      <w:pPr>
        <w:pStyle w:val="Bibliography"/>
      </w:pPr>
      <w:r>
        <w:t xml:space="preserve">McNeill, F. (2012).</w:t>
      </w:r>
      <w:r>
        <w:t xml:space="preserve"> </w:t>
      </w:r>
      <w:hyperlink r:id="rId104">
        <w:r>
          <w:rPr>
            <w:rStyle w:val="Hyperlink"/>
          </w:rPr>
          <w:t xml:space="preserve">Four forms of ‘offender’ 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05"/>
    <w:bookmarkStart w:id="10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06"/>
    <w:bookmarkStart w:id="108" w:name="ref-odonnellAimsImprisonment2016"/>
    <w:p>
      <w:pPr>
        <w:pStyle w:val="Bibliography"/>
      </w:pPr>
      <w:r>
        <w:t xml:space="preserve">O’Donnell, I. (2016).</w:t>
      </w:r>
      <w:r>
        <w:t xml:space="preserve"> </w:t>
      </w:r>
      <w:hyperlink r:id="rId10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08"/>
    <w:bookmarkStart w:id="110" w:name="ref-paratoreInsightLifeCrimes2016"/>
    <w:p>
      <w:pPr>
        <w:pStyle w:val="Bibliography"/>
      </w:pPr>
      <w:r>
        <w:t xml:space="preserve">Paratore, L. (2016).</w:t>
      </w:r>
      <w:r>
        <w:t xml:space="preserve"> </w:t>
      </w:r>
      <w:hyperlink r:id="rId10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0"/>
    <w:bookmarkStart w:id="11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11">
        <w:r>
          <w:rPr>
            <w:rStyle w:val="Hyperlink"/>
          </w:rPr>
          <w:t xml:space="preserve">https://www.sentencingacademy.org.uk/wp-content/uploads/2025/04/Measuring-Sentence-Inflation-in-England-and-Wales.pdf</w:t>
        </w:r>
      </w:hyperlink>
    </w:p>
    <w:bookmarkEnd w:id="112"/>
    <w:bookmarkStart w:id="11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13"/>
    <w:bookmarkStart w:id="115" w:name="X376f4432f0a458a8ef978d63ff7e061be0d74ef"/>
    <w:p>
      <w:pPr>
        <w:pStyle w:val="Bibliography"/>
      </w:pPr>
      <w:r>
        <w:t xml:space="preserve">Schinkel, M. (2014).</w:t>
      </w:r>
      <w:r>
        <w:t xml:space="preserve"> </w:t>
      </w:r>
      <w:r>
        <w:rPr>
          <w:i/>
          <w:iCs/>
        </w:rPr>
        <w:t xml:space="preserve">Being Imprisoned</w:t>
      </w:r>
      <w:r>
        <w:t xml:space="preserve">, 1st edn, Houndmills: Palgrave Macmillan. doi:</w:t>
      </w:r>
      <w:hyperlink r:id="rId114">
        <w:r>
          <w:rPr>
            <w:rStyle w:val="Hyperlink"/>
          </w:rPr>
          <w:t xml:space="preserve">10.1057/9781137440839</w:t>
        </w:r>
      </w:hyperlink>
    </w:p>
    <w:bookmarkEnd w:id="115"/>
    <w:bookmarkStart w:id="117"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16">
        <w:r>
          <w:rPr>
            <w:rStyle w:val="Hyperlink"/>
          </w:rPr>
          <w:t xml:space="preserve">10.1177/2632666321989018</w:t>
        </w:r>
      </w:hyperlink>
    </w:p>
    <w:bookmarkEnd w:id="117"/>
    <w:bookmarkStart w:id="119" w:name="ref-schragLeadershipPrisonInmates1954"/>
    <w:p>
      <w:pPr>
        <w:pStyle w:val="Bibliography"/>
      </w:pPr>
      <w:r>
        <w:t xml:space="preserve">Schrag, C. (1954).</w:t>
      </w:r>
      <w:r>
        <w:t xml:space="preserve"> </w:t>
      </w:r>
      <w:hyperlink r:id="rId118">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w:t>
      </w:r>
    </w:p>
    <w:bookmarkEnd w:id="119"/>
    <w:bookmarkStart w:id="121" w:name="ref-seedsHopeLifeSentence2022"/>
    <w:p>
      <w:pPr>
        <w:pStyle w:val="Bibliography"/>
      </w:pPr>
      <w:r>
        <w:t xml:space="preserve">Seeds, C. (2021).</w:t>
      </w:r>
      <w:r>
        <w:t xml:space="preserve"> </w:t>
      </w:r>
      <w:hyperlink r:id="rId120">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1"/>
    <w:bookmarkStart w:id="123" w:name="ref-shammasPerilsParoleHearings2019"/>
    <w:p>
      <w:pPr>
        <w:pStyle w:val="Bibliography"/>
      </w:pPr>
      <w:r>
        <w:t xml:space="preserve">Shammas, V. L. (2019).</w:t>
      </w:r>
      <w:r>
        <w:t xml:space="preserve"> </w:t>
      </w:r>
      <w:hyperlink r:id="rId122">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23"/>
    <w:bookmarkStart w:id="124" w:name="ref-skarbekPuzzlePrisonOrder2020"/>
    <w:p>
      <w:pPr>
        <w:pStyle w:val="Bibliography"/>
      </w:pPr>
      <w:r>
        <w:t xml:space="preserve">Skarbek, D. (2020).</w:t>
      </w:r>
      <w:r>
        <w:t xml:space="preserve"> </w:t>
      </w:r>
      <w:r>
        <w:rPr>
          <w:i/>
          <w:iCs/>
        </w:rPr>
        <w:t xml:space="preserve">The Puzzle of Prison Order</w:t>
      </w:r>
      <w:r>
        <w:t xml:space="preserve">, Oxford: Oxford University Press.</w:t>
      </w:r>
    </w:p>
    <w:bookmarkEnd w:id="124"/>
    <w:bookmarkStart w:id="126" w:name="ref-sparksCanPrisonsBe1994"/>
    <w:p>
      <w:pPr>
        <w:pStyle w:val="Bibliography"/>
      </w:pPr>
      <w:r>
        <w:t xml:space="preserve">Sparks, R. (1994).</w:t>
      </w:r>
      <w:r>
        <w:t xml:space="preserve"> </w:t>
      </w:r>
      <w:hyperlink r:id="rId125">
        <w:r>
          <w:rPr>
            <w:rStyle w:val="Hyperlink"/>
          </w:rPr>
          <w:t xml:space="preserve">Can prisons be legitimate?</w:t>
        </w:r>
      </w:hyperlink>
      <w:r>
        <w:t xml:space="preserve"> </w:t>
      </w:r>
      <w:r>
        <w:rPr>
          <w:i/>
          <w:iCs/>
        </w:rPr>
        <w:t xml:space="preserve">The British Journal of Criminology</w:t>
      </w:r>
      <w:r>
        <w:t xml:space="preserve">,</w:t>
      </w:r>
      <w:r>
        <w:t xml:space="preserve"> </w:t>
      </w:r>
      <w:r>
        <w:rPr>
          <w:b/>
          <w:bCs/>
        </w:rPr>
        <w:t xml:space="preserve">34</w:t>
      </w:r>
      <w:r>
        <w:t xml:space="preserve">(S1), 14–28.</w:t>
      </w:r>
    </w:p>
    <w:bookmarkEnd w:id="126"/>
    <w:bookmarkStart w:id="128" w:name="ref-sparksPrisonsProblemOrder1996"/>
    <w:p>
      <w:pPr>
        <w:pStyle w:val="Bibliography"/>
      </w:pPr>
      <w:r>
        <w:t xml:space="preserve">Sparks, R. (1996).</w:t>
      </w:r>
      <w:r>
        <w:t xml:space="preserve"> </w:t>
      </w:r>
      <w:r>
        <w:rPr>
          <w:i/>
          <w:iCs/>
        </w:rPr>
        <w:t xml:space="preserve">Prisons and the problem of order</w:t>
      </w:r>
      <w:r>
        <w:t xml:space="preserve">, Oxford: Clarendon. doi:</w:t>
      </w:r>
      <w:hyperlink r:id="rId127">
        <w:r>
          <w:rPr>
            <w:rStyle w:val="Hyperlink"/>
          </w:rPr>
          <w:t xml:space="preserve">10.1093/acprof:oso/9780198258186.001.0001</w:t>
        </w:r>
      </w:hyperlink>
    </w:p>
    <w:bookmarkEnd w:id="128"/>
    <w:bookmarkStart w:id="130"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129">
        <w:r>
          <w:rPr>
            <w:rStyle w:val="Hyperlink"/>
          </w:rPr>
          <w:t xml:space="preserve">10.4324/9780203101124</w:t>
        </w:r>
      </w:hyperlink>
    </w:p>
    <w:bookmarkEnd w:id="130"/>
    <w:bookmarkStart w:id="131"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1"/>
    <w:bookmarkStart w:id="133" w:name="X49f9d481cf94d0893662ed622409211b7aecca0"/>
    <w:p>
      <w:pPr>
        <w:pStyle w:val="Bibliography"/>
      </w:pPr>
      <w:r>
        <w:t xml:space="preserve">Sykes, G. M., &amp; Matza, D. (1957).</w:t>
      </w:r>
      <w:r>
        <w:t xml:space="preserve"> </w:t>
      </w:r>
      <w:hyperlink r:id="rId132">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33"/>
    <w:bookmarkStart w:id="135" w:name="ref-tasioulasRepentanceLiberalState2007"/>
    <w:p>
      <w:pPr>
        <w:pStyle w:val="Bibliography"/>
      </w:pPr>
      <w:r>
        <w:t xml:space="preserve">Tasioulas, J. (2007).</w:t>
      </w:r>
      <w:r>
        <w:t xml:space="preserve"> </w:t>
      </w:r>
      <w:hyperlink r:id="rId134">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35"/>
    <w:bookmarkStart w:id="136" w:name="ref-tynanYoungMensExperiences2019"/>
    <w:p>
      <w:pPr>
        <w:pStyle w:val="Bibliography"/>
      </w:pPr>
      <w:r>
        <w:t xml:space="preserve">Tynan, R. R. (2019).</w:t>
      </w:r>
      <w:r>
        <w:t xml:space="preserve"> </w:t>
      </w:r>
      <w:r>
        <w:rPr>
          <w:i/>
          <w:iCs/>
        </w:rPr>
        <w:t xml:space="preserve">Young men’s experiences of long-term imprisonment: living life</w:t>
      </w:r>
      <w:r>
        <w:t xml:space="preserve">, 1st edn, Abingdon: Routledge.</w:t>
      </w:r>
    </w:p>
    <w:bookmarkEnd w:id="136"/>
    <w:bookmarkStart w:id="138" w:name="ref-ugelvikPrisonersTheirVictims2012"/>
    <w:p>
      <w:pPr>
        <w:pStyle w:val="Bibliography"/>
      </w:pPr>
      <w:r>
        <w:t xml:space="preserve">Ugelvik, T. (2012).</w:t>
      </w:r>
      <w:r>
        <w:t xml:space="preserve"> </w:t>
      </w:r>
      <w:hyperlink r:id="rId137">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38"/>
    <w:bookmarkStart w:id="140" w:name="ref-ugelvikRapistProperCriminal2015"/>
    <w:p>
      <w:pPr>
        <w:pStyle w:val="Bibliography"/>
      </w:pPr>
      <w:r>
        <w:t xml:space="preserve">Ugelvik, T. (2015).</w:t>
      </w:r>
      <w:r>
        <w:t xml:space="preserve"> </w:t>
      </w:r>
      <w:hyperlink r:id="rId139">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New York University Press, pp. 23–41.</w:t>
      </w:r>
    </w:p>
    <w:bookmarkEnd w:id="140"/>
    <w:bookmarkStart w:id="142" w:name="ref-vonhirschPunishmentPenanceState2005"/>
    <w:p>
      <w:pPr>
        <w:pStyle w:val="Bibliography"/>
      </w:pPr>
      <w:r>
        <w:t xml:space="preserve">Von Hirsch, A. (2005).</w:t>
      </w:r>
      <w:r>
        <w:t xml:space="preserve"> </w:t>
      </w:r>
      <w:hyperlink r:id="rId141">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2"/>
    <w:bookmarkStart w:id="144" w:name="ref-waldramEverybodyHasStory2007"/>
    <w:p>
      <w:pPr>
        <w:pStyle w:val="Bibliography"/>
      </w:pPr>
      <w:r>
        <w:t xml:space="preserve">Waldram, J. B. (2007).</w:t>
      </w:r>
      <w:r>
        <w:t xml:space="preserve"> </w:t>
      </w:r>
      <w:hyperlink r:id="rId143">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44"/>
    <w:bookmarkEnd w:id="145"/>
    <w:bookmarkEnd w:id="14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12">
    <w:p>
      <w:pPr>
        <w:pStyle w:val="FootnoteText"/>
      </w:pPr>
      <w:r>
        <w:rPr>
          <w:rStyle w:val="FootnoteReference"/>
        </w:rPr>
        <w:footnoteRef/>
      </w:r>
      <w:r>
        <w:t xml:space="preserve"> </w:t>
      </w:r>
      <w:r>
        <w:t xml:space="preserve">There is, of course, research which interviews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14">
    <w:p>
      <w:pPr>
        <w:pStyle w:val="FootnoteText"/>
      </w:pPr>
      <w:r>
        <w:rPr>
          <w:rStyle w:val="FootnoteReference"/>
        </w:rPr>
        <w:footnoteRef/>
      </w:r>
      <w:r>
        <w:t xml:space="preserve"> </w:t>
      </w:r>
      <w:r>
        <w:t xml:space="preserve">All names are pseudonyms, and we have changed any potentially identifying features.</w:t>
      </w:r>
    </w:p>
  </w:footnote>
  <w:footnote w:id="15">
    <w:p>
      <w:pPr>
        <w:pStyle w:val="FootnoteText"/>
      </w:pPr>
      <w:r>
        <w:rPr>
          <w:rStyle w:val="FootnoteReference"/>
        </w:rPr>
        <w:footnoteRef/>
      </w:r>
      <w:r>
        <w:t xml:space="preserve"> </w:t>
      </w:r>
      <w:r>
        <w:t xml:space="preserve">1,100: the population, approximately, of the prison where Mick was held.</w:t>
      </w:r>
    </w:p>
  </w:footnote>
  <w:footnote w:id="20">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22">
    <w:p>
      <w:pPr>
        <w:pStyle w:val="FootnoteText"/>
      </w:pPr>
      <w:r>
        <w:rPr>
          <w:rStyle w:val="FootnoteReference"/>
        </w:rPr>
        <w:footnoteRef/>
      </w:r>
      <w:r>
        <w:t xml:space="preserve"> </w:t>
      </w:r>
      <w:r>
        <w:t xml:space="preserve">We thank an anonymous reviewer for pushing us to strengthen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 Alice Ievins; Ben Crewe</dc:creator>
  <dc:description>A journal article accepted for publication in Incarceration: An international journal of imprisonment, detention and coercive confinement</dc:description>
  <dc:language>en-GB</dc:language>
  <cp:keywords>prison sociology, moral communication, punishment, prison ethnography, legitimacy, adaptation</cp:keywords>
  <dcterms:created xsi:type="dcterms:W3CDTF">2026-04-13T09:01:40Z</dcterms:created>
  <dcterms:modified xsi:type="dcterms:W3CDTF">2026-04-13T09:01:40Z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2026-04-10</vt:lpwstr>
  </property>
  <property fmtid="{D5CDD505-2E9C-101B-9397-08002B2CF9AE}" pid="15" name="date-format">
    <vt:lpwstr>iso</vt:lpwstr>
  </property>
  <property fmtid="{D5CDD505-2E9C-101B-9397-08002B2CF9AE}" pid="16" name="doi">
    <vt:lpwstr>10.1177/26326663261442087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neglected role of the offence in prison sociology</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https://eprints.soton.ac.uk/id/eprint/507473</vt:lpwstr>
  </property>
</Properties>
</file>