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4"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w:t>
      </w:r>
      <w:hyperlink w:anchor="ref-daganParoleBoxingMatch2024">
        <w:r>
          <w:rPr>
            <w:rStyle w:val="Hyperlink"/>
          </w:rPr>
          <w:t xml:space="preserve">Dagan 2024</w:t>
        </w:r>
      </w:hyperlink>
      <w:r>
        <w:t xml:space="preserve">; e.g.</w:t>
      </w:r>
      <w:r>
        <w:t xml:space="preserve"> </w:t>
      </w:r>
      <w:hyperlink w:anchor="ref-hawkinsAssessingEvilDecision1983">
        <w:r>
          <w:rPr>
            <w:rStyle w:val="Hyperlink"/>
          </w:rPr>
          <w:t xml:space="preserve">Hawkins 1983</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 e.g.</w:t>
      </w:r>
      <w:r>
        <w:t xml:space="preserve"> </w:t>
      </w:r>
      <w:hyperlink w:anchor="ref-hoodParoleSystemWork2000">
        <w:r>
          <w:rPr>
            <w:rStyle w:val="Hyperlink"/>
          </w:rPr>
          <w:t xml:space="preserve">Hood &amp; Shute 2000</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24"/>
    <w:bookmarkStart w:id="25"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w:t>
      </w:r>
      <w:r>
        <w:t xml:space="preserve"> </w:t>
      </w:r>
      <w:r>
        <w:t xml:space="preserve">‘dead time’</w:t>
      </w:r>
      <w:r>
        <w:t xml:space="preserve"> </w:t>
      </w:r>
      <w:r>
        <w:t xml:space="preserve">or</w:t>
      </w:r>
      <w:r>
        <w:t xml:space="preserve"> </w:t>
      </w:r>
      <w:r>
        <w:t xml:space="preserve">‘stagnation’</w:t>
      </w:r>
      <w:r>
        <w:t xml:space="preserve">.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w:t>
      </w:r>
      <w:r>
        <w:t xml:space="preserve"> </w:t>
      </w:r>
      <w:r>
        <w:t xml:space="preserve">“we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w:t>
      </w:r>
      <w:r>
        <w:t xml:space="preserve"> </w:t>
      </w:r>
      <w:r>
        <w:t xml:space="preserve">“[I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w:t>
      </w:r>
      <w:r>
        <w:t xml:space="preserve"> </w:t>
      </w:r>
      <w:r>
        <w:t xml:space="preserve">“I’ve had enough of this bullshit and dickering around and I’m going to get to the stage where [I say]</w:t>
      </w:r>
      <w:r>
        <w:t xml:space="preserve"> </w:t>
      </w:r>
      <w:r>
        <w:t xml:space="preserve">‘That’s YOUR parole board. I’m not even engaging. Just leave me alone.’</w:t>
      </w:r>
      <w:r>
        <w:t xml:space="preserve"> </w:t>
      </w:r>
      <w:r>
        <w:t xml:space="preserve">[…]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w:t>
      </w:r>
      <w:r>
        <w:t xml:space="preserve"> </w:t>
      </w:r>
      <w:r>
        <w:t xml:space="preserve">‘nothing time’</w:t>
      </w:r>
      <w:r>
        <w:t xml:space="preserve"> </w:t>
      </w:r>
      <w:r>
        <w:t xml:space="preserve">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25"/>
    <w:bookmarkStart w:id="27"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w:t>
      </w:r>
      <w:r>
        <w:t xml:space="preserve"> </w:t>
      </w:r>
      <w:r>
        <w:t xml:space="preserve">‘court-like’</w:t>
      </w:r>
      <w:r>
        <w:t xml:space="preserve"> </w:t>
      </w:r>
      <w:r>
        <w:t xml:space="preserve">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w:t>
      </w:r>
      <w:r>
        <w:t xml:space="preserve"> </w:t>
      </w:r>
      <w:r>
        <w:t xml:space="preserve">‘deserves’</w:t>
      </w:r>
      <w:r>
        <w:t xml:space="preserve"> </w:t>
      </w:r>
      <w:r>
        <w:t xml:space="preserve">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26"/>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w:t>
      </w:r>
      <w:r>
        <w:t xml:space="preserve">, but his proposed licence conditions included a disclosure requirement if he did, and he accepted this, saying,</w:t>
      </w:r>
      <w:r>
        <w:t xml:space="preserve"> </w:t>
      </w:r>
      <w:r>
        <w:t xml:space="preserve">“of course there’s a bloody increased risk”</w:t>
      </w:r>
      <w:r>
        <w:t xml:space="preserve">.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27"/>
    <w:bookmarkStart w:id="28"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w:t>
      </w:r>
      <w:r>
        <w:t xml:space="preserve"> </w:t>
      </w:r>
      <w:r>
        <w:t xml:space="preserve">“90% of us in this jail tell [parole boards] what they want to know.”</w:t>
      </w:r>
      <w:r>
        <w:t xml:space="preserve"> </w:t>
      </w:r>
      <w:r>
        <w:t xml:space="preserve">But this represented a spectrum of different approaches. At one end stood Alf’s defensive minimalism:</w:t>
      </w:r>
      <w:r>
        <w:t xml:space="preserve"> </w:t>
      </w:r>
      <w:r>
        <w:t xml:space="preserve">“I’m just going to say,</w:t>
      </w:r>
      <w:r>
        <w:t xml:space="preserve"> </w:t>
      </w:r>
      <w:r>
        <w:t xml:space="preserve">‘yes, sir. No, sir. Three bags full, sir.’</w:t>
      </w:r>
      <w:r>
        <w:t xml:space="preserve">”</w:t>
      </w:r>
      <w:r>
        <w:t xml:space="preserve"> </w:t>
      </w:r>
      <w:r>
        <w:t xml:space="preserve">Quite similar was Nixon’s calculated compliance—engaging</w:t>
      </w:r>
      <w:r>
        <w:t xml:space="preserve"> </w:t>
      </w:r>
      <w:r>
        <w:t xml:space="preserve">“because I had to”</w:t>
      </w:r>
      <w:r>
        <w:t xml:space="preserve"> </w:t>
      </w:r>
      <w:r>
        <w:t xml:space="preserve">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w:t>
      </w:r>
      <w:r>
        <w:t xml:space="preserve"> </w:t>
      </w:r>
      <w:r>
        <w:t xml:space="preserve">“No-one deserves that, I wouldn’t want that for my daughters.”</w:t>
      </w:r>
      <w:r>
        <w:t xml:space="preserve"> </w:t>
      </w:r>
      <w:r>
        <w:t xml:space="preserve">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w:t>
      </w:r>
      <w:r>
        <w:t xml:space="preserve"> </w:t>
      </w:r>
      <w:r>
        <w:t xml:space="preserve">“It’s the hope that kills you”</w:t>
      </w:r>
      <w:r>
        <w:t xml:space="preserve">.</w:t>
      </w:r>
    </w:p>
    <w:bookmarkEnd w:id="28"/>
    <w:bookmarkStart w:id="29"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29"/>
    <w:bookmarkStart w:id="56" w:name="references"/>
    <w:p>
      <w:pPr>
        <w:pStyle w:val="Heading1"/>
      </w:pPr>
      <w:r>
        <w:t xml:space="preserve">References</w:t>
      </w:r>
    </w:p>
    <w:bookmarkStart w:id="55" w:name="refs"/>
    <w:bookmarkStart w:id="30"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2" w:name="ref-daganParoleBoxingMatch2024"/>
    <w:p>
      <w:pPr>
        <w:pStyle w:val="Bibliography"/>
      </w:pPr>
      <w:r>
        <w:t xml:space="preserve">Dagan, N. (2024).</w:t>
      </w:r>
      <w:r>
        <w:t xml:space="preserve"> </w:t>
      </w:r>
      <w:hyperlink r:id="rId31">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32"/>
    <w:bookmarkStart w:id="34" w:name="ref-dykeHowParoleBoard2020"/>
    <w:p>
      <w:pPr>
        <w:pStyle w:val="Bibliography"/>
      </w:pPr>
      <w:r>
        <w:t xml:space="preserve">Dyke, C., Schucan Bird, K., &amp; Rivas, C. (2020).</w:t>
      </w:r>
      <w:r>
        <w:t xml:space="preserve"> </w:t>
      </w:r>
      <w:hyperlink r:id="rId33">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34"/>
    <w:bookmarkStart w:id="35"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35"/>
    <w:bookmarkStart w:id="37" w:name="ref-hawkinsAssessingEvilDecision1983"/>
    <w:p>
      <w:pPr>
        <w:pStyle w:val="Bibliography"/>
      </w:pPr>
      <w:r>
        <w:t xml:space="preserve">Hawkins, K. (1983).</w:t>
      </w:r>
      <w:r>
        <w:t xml:space="preserve"> </w:t>
      </w:r>
      <w:hyperlink r:id="rId36">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37"/>
    <w:bookmarkStart w:id="38"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38"/>
    <w:bookmarkStart w:id="40" w:name="Xc23a9a60f0997758c5517e43a0e689f4b9da913"/>
    <w:p>
      <w:pPr>
        <w:pStyle w:val="Bibliography"/>
      </w:pPr>
      <w:r>
        <w:t xml:space="preserve">McNeill, F. (2019).</w:t>
      </w:r>
      <w:r>
        <w:t xml:space="preserve"> </w:t>
      </w:r>
      <w:hyperlink r:id="rId39">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40"/>
    <w:bookmarkStart w:id="41"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41"/>
    <w:bookmarkStart w:id="43" w:name="ref-padfieldParoleBoardOral2017"/>
    <w:p>
      <w:pPr>
        <w:pStyle w:val="Bibliography"/>
      </w:pPr>
      <w:r>
        <w:t xml:space="preserve">Padfield, N. (2017).</w:t>
      </w:r>
      <w:r>
        <w:t xml:space="preserve"> </w:t>
      </w:r>
      <w:hyperlink r:id="rId42">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43"/>
    <w:bookmarkStart w:id="44"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44"/>
    <w:bookmarkStart w:id="46" w:name="ref-peplowCommunicationRepairParole2024"/>
    <w:p>
      <w:pPr>
        <w:pStyle w:val="Bibliography"/>
      </w:pPr>
      <w:r>
        <w:t xml:space="preserve">Peplow, D., &amp; Phillips, J. (2024).</w:t>
      </w:r>
      <w:r>
        <w:t xml:space="preserve"> </w:t>
      </w:r>
      <w:hyperlink r:id="rId45">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46"/>
    <w:bookmarkStart w:id="47"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47"/>
    <w:bookmarkStart w:id="48"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48"/>
    <w:bookmarkStart w:id="50" w:name="ref-shammasPerilsParoleHearings2019"/>
    <w:p>
      <w:pPr>
        <w:pStyle w:val="Bibliography"/>
      </w:pPr>
      <w:r>
        <w:t xml:space="preserve">Shammas, V. L. (2019).</w:t>
      </w:r>
      <w:r>
        <w:t xml:space="preserve"> </w:t>
      </w:r>
      <w:hyperlink r:id="rId49">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50"/>
    <w:bookmarkStart w:id="52" w:name="ref-sparksCrimeJusticeResearch2020"/>
    <w:p>
      <w:pPr>
        <w:pStyle w:val="Bibliography"/>
      </w:pPr>
      <w:r>
        <w:t xml:space="preserve">Sparks, R. (2020).</w:t>
      </w:r>
      <w:r>
        <w:t xml:space="preserve"> </w:t>
      </w:r>
      <w:hyperlink r:id="rId51">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52"/>
    <w:bookmarkStart w:id="54"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53">
        <w:r>
          <w:rPr>
            <w:rStyle w:val="Hyperlink"/>
          </w:rPr>
          <w:t xml:space="preserve">10.1007/978-3-030-01060-7</w:t>
        </w:r>
      </w:hyperlink>
    </w:p>
    <w:bookmarkEnd w:id="54"/>
    <w:bookmarkEnd w:id="55"/>
    <w:bookmarkEnd w:id="5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2025-11-05T18:53:15Z</dcterms:created>
  <dcterms:modified xsi:type="dcterms:W3CDTF">2025-11-05T18:53:15Z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Life-sentenced prisoners’ experiences of parole decision-making</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https://benjarman.uk/publications/jarmanBeingAssessedBeing2025.html</vt:lpwstr>
  </property>
</Properties>
</file>