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23">
              <w:r>
                <w:rPr>
                  <w:rStyle w:val="Hyperlink"/>
                </w:rPr>
                <w:t xml:space="preserve">viewed on YouTube</w:t>
              </w:r>
            </w:hyperlink>
            <w:r>
              <w:t xml:space="preserve">.</w:t>
            </w:r>
          </w:p>
          <w:p>
            <w:pPr>
              <w:pStyle w:val="BodyText"/>
            </w:pPr>
            <w:pPr>
              <w:spacing w:after="16"/>
            </w:pPr>
            <w:hyperlink r:id="rId23">
              <w:r>
                <w:rPr>
                  <w:rStyle w:val="Hyperlink"/>
                </w:rPr>
                <w:t xml:space="preserve">https://www.youtube.com/watch?v=vwqolkC0nnc</w:t>
              </w:r>
            </w:hyperlink>
          </w:p>
          <w:p/>
        </w:tc>
      </w:tr>
    </w:tbl>
    <w:p>
      <w:r>
        <w:br w:type="page"/>
      </w:r>
    </w:p>
    <w:bookmarkStart w:id="24"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w:t>
      </w:r>
      <w:r>
        <w:t xml:space="preserve"> </w:t>
      </w:r>
      <w:r>
        <w:t xml:space="preserve">“the gift of proximity”</w:t>
      </w:r>
      <w:r>
        <w:t xml:space="preserve">.</w:t>
      </w:r>
    </w:p>
    <w:p>
      <w:pPr>
        <w:pStyle w:val="BodyText"/>
      </w:pPr>
      <w:r>
        <w:t xml:space="preserve">Miller urges academic researchers to engage closely with individuals in the penal system. He warns against viewing people through the lens of abstractions like</w:t>
      </w:r>
      <w:r>
        <w:t xml:space="preserve"> </w:t>
      </w:r>
      <w:r>
        <w:t xml:space="preserve">“rehabilitation”</w:t>
      </w:r>
      <w:r>
        <w:t xml:space="preserve">, or through policy metrics such as</w:t>
      </w:r>
      <w:r>
        <w:t xml:space="preserve"> </w:t>
      </w:r>
      <w:r>
        <w:t xml:space="preserve">“reoffending”</w:t>
      </w:r>
      <w:r>
        <w:t xml:space="preserve">.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24"/>
    <w:bookmarkStart w:id="28"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w:t>
      </w:r>
      <w:r>
        <w:t xml:space="preserve"> </w:t>
      </w:r>
      <w:r>
        <w:t xml:space="preserve">“No more victims”</w:t>
      </w:r>
      <w:r>
        <w:t xml:space="preserve">,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25"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w:t>
      </w:r>
      <w:r>
        <w:t xml:space="preserve"> </w:t>
      </w:r>
      <w:r>
        <w:t xml:space="preserve">‘diamonds in the rough’</w:t>
      </w:r>
      <w:r>
        <w:t xml:space="preserve">—people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25"/>
    <w:bookmarkStart w:id="26"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w:t>
      </w:r>
      <w:r>
        <w:t xml:space="preserve"> </w:t>
      </w:r>
      <w:r>
        <w:t xml:space="preserve">‘Foreign criminals’</w:t>
      </w:r>
      <w:r>
        <w:t xml:space="preserve"> </w:t>
      </w:r>
      <w:r>
        <w:t xml:space="preserve">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26"/>
    <w:bookmarkStart w:id="27"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w:t>
      </w:r>
      <w:r>
        <w:t xml:space="preserve"> </w:t>
      </w:r>
      <w:r>
        <w:t xml:space="preserve">‘got what they deserved’</w:t>
      </w:r>
      <w:r>
        <w:t xml:space="preserve">: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27"/>
    <w:bookmarkEnd w:id="28"/>
    <w:bookmarkStart w:id="30"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29"/>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w:t>
      </w:r>
      <w:r>
        <w:t xml:space="preserve"> </w:t>
      </w:r>
      <w:r>
        <w:t xml:space="preserve">‘We’</w:t>
      </w:r>
      <w:r>
        <w:t xml:space="preserve">, who are good, respond to actions by</w:t>
      </w:r>
      <w:r>
        <w:t xml:space="preserve"> </w:t>
      </w:r>
      <w:r>
        <w:t xml:space="preserve">‘them’</w:t>
      </w:r>
      <w:r>
        <w:t xml:space="preserve">,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30"/>
    <w:bookmarkStart w:id="33"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31"/>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w:t>
      </w:r>
      <w:r>
        <w:t xml:space="preserve"> </w:t>
      </w:r>
      <w:r>
        <w:t xml:space="preserve">“the angel of prisons”</w:t>
      </w:r>
      <w:r>
        <w:t xml:space="preserve">,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w:t>
      </w:r>
      <w:r>
        <w:t xml:space="preserve"> </w:t>
      </w:r>
      <w:r>
        <w:t xml:space="preserve">‘natural’</w:t>
      </w:r>
      <w:r>
        <w:t xml:space="preserve">,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33"/>
    <w:bookmarkStart w:id="35"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34"/>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w:t>
      </w:r>
      <w:r>
        <w:t xml:space="preserve"> </w:t>
      </w:r>
      <w:r>
        <w:t xml:space="preserve">“dangerous”</w:t>
      </w:r>
      <w:r>
        <w:t xml:space="preserve"> </w:t>
      </w:r>
      <w:r>
        <w:t xml:space="preserve">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w:t>
      </w:r>
      <w:r>
        <w:t xml:space="preserve"> </w:t>
      </w:r>
      <w:r>
        <w:t xml:space="preserve">‘serious cases’</w:t>
      </w:r>
      <w:r>
        <w:t xml:space="preserve"> </w:t>
      </w:r>
      <w:r>
        <w:t xml:space="preserve">without taking seriously—and by this I mean, not dismissing or tidying away—the difficult emotions which underlie the urge to punish.</w:t>
      </w:r>
    </w:p>
    <w:bookmarkEnd w:id="35"/>
    <w:bookmarkStart w:id="48" w:name="punishment"/>
    <w:p>
      <w:pPr>
        <w:pStyle w:val="Heading1"/>
      </w:pPr>
      <w:r>
        <w:t xml:space="preserve">Punishment</w:t>
      </w:r>
    </w:p>
    <w:p>
      <w:pPr>
        <w:pStyle w:val="FirstParagraph"/>
      </w:pPr>
      <w:r>
        <w:t xml:space="preserve">‘Punishment’</w:t>
      </w:r>
      <w:r>
        <w:t xml:space="preserve">.</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w:t>
      </w:r>
      <w:r>
        <w:t xml:space="preserve"> </w:t>
      </w:r>
      <w:r>
        <w:t xml:space="preserve">“insubstantial excuses”</w:t>
      </w:r>
      <w:r>
        <w:t xml:space="preserve"> </w:t>
      </w:r>
      <w:r>
        <w:t xml:space="preserve">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w:t>
      </w:r>
      <w:r>
        <w:t xml:space="preserve"> </w:t>
      </w:r>
      <w:r>
        <w:t xml:space="preserve">“more centred on feeling sorry for himself”</w:t>
      </w:r>
      <w:r>
        <w:t xml:space="preserve">. She relays what she thought to herself, after Steel claimed that he cried about killing Ruth every night:</w:t>
      </w:r>
      <w:r>
        <w:t xml:space="preserve"> </w:t>
      </w:r>
      <w:r>
        <w:t xml:space="preserve">“you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w:t>
      </w:r>
      <w:r>
        <w:t xml:space="preserve"> </w:t>
      </w:r>
      <w:r>
        <w:t xml:space="preserve">‘move on’</w:t>
      </w:r>
      <w:r>
        <w:t xml:space="preserve">.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36"/>
      </w:r>
      <w:r>
        <w:t xml:space="preserve"> </w:t>
      </w:r>
      <w:r>
        <w:t xml:space="preserve">by John Lampen, very helpful. Writing about punishment, Lampen suggests that Quakers</w:t>
      </w:r>
      <w:r>
        <w:t xml:space="preserve"> </w:t>
      </w:r>
      <w:r>
        <w:t xml:space="preserve">“seem to have a horror of revenge as a motive”</w:t>
      </w:r>
      <w:r>
        <w:t xml:space="preserve">, but says that even when revenge achieves nothing constructive, this at least is better than to make no response at all, which leaves all the hurt with the person who has been wronged. To Lampen, it is</w:t>
      </w:r>
      <w:r>
        <w:t xml:space="preserve"> </w:t>
      </w:r>
      <w:r>
        <w:t xml:space="preserve">“a kind of insult”</w:t>
      </w:r>
      <w:r>
        <w:t xml:space="preserve"> </w:t>
      </w:r>
      <w:r>
        <w:t xml:space="preserve">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37"/>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w:t>
      </w:r>
      <w:r>
        <w:t xml:space="preserve"> </w:t>
      </w:r>
      <w:r>
        <w:t xml:space="preserve">“poisoned root, and a honeyed tip”</w:t>
      </w:r>
      <w:r>
        <w:t xml:space="preserve">.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w:t>
      </w:r>
      <w:r>
        <w:t xml:space="preserve"> </w:t>
      </w:r>
      <w:r>
        <w:t xml:space="preserve">“forging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40"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38"/>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w:t>
      </w:r>
      <w:r>
        <w:t xml:space="preserve"> </w:t>
      </w:r>
      <w:r>
        <w:t xml:space="preserve">‘revenge’</w:t>
      </w:r>
      <w:r>
        <w:t xml:space="preserve"> </w:t>
      </w:r>
      <w:r>
        <w:t xml:space="preserve">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w:t>
      </w:r>
      <w:r>
        <w:t xml:space="preserve"> </w:t>
      </w:r>
      <w:r>
        <w:t xml:space="preserve">‘vindicate’</w:t>
      </w:r>
      <w:r>
        <w:t xml:space="preserve">), among the meanings of which is to rescue, or liberate, or release from a debt, or emancipate, as in a slave.</w:t>
      </w:r>
      <w:r>
        <w:rPr>
          <w:rStyle w:val="FootnoteReference"/>
        </w:rPr>
        <w:footnoteReference w:id="39"/>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40"/>
    <w:bookmarkStart w:id="46"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41"/>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43"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w:t>
      </w:r>
      <w:r>
        <w:t xml:space="preserve"> </w:t>
      </w:r>
      <w:r>
        <w:t xml:space="preserve">‘low’</w:t>
      </w:r>
      <w:r>
        <w:t xml:space="preserve">,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w:t>
      </w:r>
      <w:r>
        <w:t xml:space="preserve"> </w:t>
      </w:r>
      <w:r>
        <w:t xml:space="preserve">‘low’</w:t>
      </w:r>
      <w:r>
        <w:t xml:space="preserve"> </w:t>
      </w:r>
      <w:r>
        <w:t xml:space="preserve">risk assessments, and the scarcity of places on rehabilitative courses meant that he hadn’t been offered a place.</w:t>
      </w:r>
      <w:r>
        <w:rPr>
          <w:rStyle w:val="FootnoteReference"/>
        </w:rPr>
        <w:footnoteReference w:id="42"/>
      </w:r>
      <w:r>
        <w:t xml:space="preserve"> </w:t>
      </w:r>
      <w:r>
        <w:t xml:space="preserve">Put simply, he held himself accountable only in limited ways, and prison hadn’t pressured him to go deeper. Alf’s low risk seemed to be all that mattered.</w:t>
      </w:r>
    </w:p>
    <w:bookmarkEnd w:id="43"/>
    <w:bookmarkStart w:id="44"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w:t>
      </w:r>
      <w:r>
        <w:t xml:space="preserve"> </w:t>
      </w:r>
      <w:r>
        <w:t xml:space="preserve">“that life”</w:t>
      </w:r>
      <w:r>
        <w:t xml:space="preserv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w:t>
      </w:r>
      <w:r>
        <w:t xml:space="preserve"> </w:t>
      </w:r>
      <w:r>
        <w:t xml:space="preserve">“that life”</w:t>
      </w:r>
      <w:r>
        <w:t xml:space="preserve"> </w:t>
      </w:r>
      <w:r>
        <w:t xml:space="preserve">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w:t>
      </w:r>
      <w:r>
        <w:t xml:space="preserve"> </w:t>
      </w:r>
      <w:r>
        <w:t xml:space="preserve">“eyes on the prize”</w:t>
      </w:r>
      <w:r>
        <w:t xml:space="preserv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44"/>
    <w:bookmarkStart w:id="45"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w:t>
      </w:r>
      <w:r>
        <w:t xml:space="preserve"> </w:t>
      </w:r>
      <w:r>
        <w:t xml:space="preserve">‘gone there’</w:t>
      </w:r>
      <w:r>
        <w:t xml:space="preserve"> </w:t>
      </w:r>
      <w:r>
        <w:t xml:space="preserve">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w:t>
      </w:r>
      <w:r>
        <w:t xml:space="preserve"> </w:t>
      </w:r>
      <w:r>
        <w:t xml:space="preserve">“A lot of people don’t like [it]. […] They resent your inner strength, for some reason.”</w:t>
      </w:r>
    </w:p>
    <w:bookmarkEnd w:id="45"/>
    <w:bookmarkEnd w:id="46"/>
    <w:bookmarkStart w:id="47"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w:t>
      </w:r>
      <w:r>
        <w:t xml:space="preserve"> </w:t>
      </w:r>
      <w:r>
        <w:t xml:space="preserve">“too punitive”</w:t>
      </w:r>
      <w:r>
        <w:t xml:space="preserve"> </w:t>
      </w:r>
      <w:r>
        <w:t xml:space="preserve">or</w:t>
      </w:r>
      <w:r>
        <w:t xml:space="preserve"> </w:t>
      </w:r>
      <w:r>
        <w:t xml:space="preserve">“not rehabilitative enough”</w:t>
      </w:r>
      <w:r>
        <w:t xml:space="preserve">,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w:t>
      </w:r>
      <w:r>
        <w:t xml:space="preserve"> </w:t>
      </w:r>
      <w:r>
        <w:t xml:space="preserve">‘belonging’</w:t>
      </w:r>
      <w:r>
        <w:t xml:space="preserve">.</w:t>
      </w:r>
    </w:p>
    <w:bookmarkEnd w:id="47"/>
    <w:bookmarkEnd w:id="48"/>
    <w:bookmarkStart w:id="52"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50"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49"/>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w:t>
      </w:r>
      <w:r>
        <w:t xml:space="preserve"> </w:t>
      </w:r>
      <w:r>
        <w:t xml:space="preserve">‘the gift of proximity’</w:t>
      </w:r>
      <w:r>
        <w:t xml:space="preserve">:</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w:t>
      </w:r>
      <w:r>
        <w:t xml:space="preserve"> </w:t>
      </w:r>
      <w:r>
        <w:t xml:space="preserve">‘serious cases’</w:t>
      </w:r>
      <w:r>
        <w:t xml:space="preserve"> </w:t>
      </w:r>
      <w:r>
        <w:t xml:space="preserve">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50"/>
    <w:bookmarkStart w:id="51"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w:t>
      </w:r>
      <w:r>
        <w:t xml:space="preserve"> </w:t>
      </w:r>
      <w:r>
        <w:t xml:space="preserve">“Uh-oh”</w:t>
      </w:r>
      <w:r>
        <w:t xml:space="preserve">, I thought.</w:t>
      </w:r>
      <w:r>
        <w:t xml:space="preserve"> </w:t>
      </w:r>
      <w:r>
        <w:t xml:space="preserve">“Here’s another one”</w:t>
      </w:r>
      <w:r>
        <w:t xml:space="preserve">. But John soon mentioned that he had been released from prison less than a year beforehand, having spent well over forty years there. I can’t adequately explain to you how difficult a transition this is—you’ll have to imagine. But the word John used for his church was</w:t>
      </w:r>
      <w:r>
        <w:t xml:space="preserve"> </w:t>
      </w:r>
      <w:r>
        <w:t xml:space="preserve">“godsend”</w:t>
      </w:r>
      <w:r>
        <w:t xml:space="preserve">.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51"/>
    <w:bookmarkEnd w:id="52"/>
    <w:bookmarkStart w:id="54"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53"/>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w:t>
      </w:r>
      <w:r>
        <w:t xml:space="preserve"> </w:t>
      </w:r>
      <w:r>
        <w:t xml:space="preserve">‘live adventurously’</w:t>
      </w:r>
      <w:r>
        <w:t xml:space="preserve">,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w:t>
      </w:r>
      <w:r>
        <w:t xml:space="preserve"> </w:t>
      </w:r>
      <w:r>
        <w:t xml:space="preserve">‘answer that of God in everyone’</w:t>
      </w:r>
      <w:r>
        <w:t xml:space="preserv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w:t>
      </w:r>
      <w:r>
        <w:t xml:space="preserve"> </w:t>
      </w:r>
      <w:r>
        <w:t xml:space="preserve">“the mighty day of the Lord is coming upon all wickedness, ungodliness and unrighteousness”</w:t>
      </w:r>
      <w:r>
        <w:t xml:space="preserve">, but added that</w:t>
      </w:r>
      <w:r>
        <w:t xml:space="preserve"> </w:t>
      </w:r>
      <w:r>
        <w:t xml:space="preserve">“the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54"/>
    <w:bookmarkStart w:id="85" w:name="references"/>
    <w:p>
      <w:pPr>
        <w:pStyle w:val="Heading1"/>
      </w:pPr>
      <w:r>
        <w:t xml:space="preserve">References</w:t>
      </w:r>
    </w:p>
    <w:bookmarkStart w:id="84" w:name="refs"/>
    <w:bookmarkStart w:id="55"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55"/>
    <w:bookmarkStart w:id="57"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56">
        <w:r>
          <w:rPr>
            <w:rStyle w:val="Hyperlink"/>
          </w:rPr>
          <w:t xml:space="preserve">https://postmodernquaker.wordpress.com/2011/07/20/answering-that-of-god/</w:t>
        </w:r>
      </w:hyperlink>
    </w:p>
    <w:bookmarkEnd w:id="57"/>
    <w:bookmarkStart w:id="59"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58">
        <w:r>
          <w:rPr>
            <w:rStyle w:val="Hyperlink"/>
          </w:rPr>
          <w:t xml:space="preserve">https://postmodernquaker.wordpress.com/2023/05/05/this-i-knew-experimentally-an-analysis-of-george-foxs-convincement-narrative/</w:t>
        </w:r>
      </w:hyperlink>
    </w:p>
    <w:bookmarkEnd w:id="59"/>
    <w:bookmarkStart w:id="60" w:name="ref-atwoodPayback2014"/>
    <w:p>
      <w:pPr>
        <w:pStyle w:val="Bibliography"/>
      </w:pPr>
      <w:r>
        <w:t xml:space="preserve">Atwood, M. (2014).</w:t>
      </w:r>
      <w:r>
        <w:t xml:space="preserve"> </w:t>
      </w:r>
      <w:r>
        <w:rPr>
          <w:i/>
          <w:iCs/>
        </w:rPr>
        <w:t xml:space="preserve">Payback</w:t>
      </w:r>
      <w:r>
        <w:t xml:space="preserve">, London: Bloomsbury Paperbacks.</w:t>
      </w:r>
    </w:p>
    <w:bookmarkEnd w:id="60"/>
    <w:bookmarkStart w:id="62"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61">
        <w:r>
          <w:rPr>
            <w:rStyle w:val="Hyperlink"/>
          </w:rPr>
          <w:t xml:space="preserve">https://accesstoinsight.org/tipitaka/sn/sn07/sn07.001.wlsh.html</w:t>
        </w:r>
      </w:hyperlink>
    </w:p>
    <w:bookmarkEnd w:id="62"/>
    <w:bookmarkStart w:id="63"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63"/>
    <w:bookmarkStart w:id="65"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64">
        <w:r>
          <w:rPr>
            <w:rStyle w:val="Hyperlink"/>
          </w:rPr>
          <w:t xml:space="preserve">https://www.prisonstudies.org/highest-to-lowest/prison\_population\_rate?field\_region\_taxonomy\_tid=14</w:t>
        </w:r>
      </w:hyperlink>
    </w:p>
    <w:bookmarkEnd w:id="65"/>
    <w:bookmarkStart w:id="67"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66">
        <w:r>
          <w:rPr>
            <w:rStyle w:val="Hyperlink"/>
          </w:rPr>
          <w:t xml:space="preserve">https://www.justiceinspectorates.gov.uk/hmiprisons/wp-content/uploads/sites/4/2023/08/Grendon-web-2023.pdf</w:t>
        </w:r>
      </w:hyperlink>
    </w:p>
    <w:bookmarkEnd w:id="67"/>
    <w:bookmarkStart w:id="69"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68">
        <w:r>
          <w:rPr>
            <w:rStyle w:val="Hyperlink"/>
          </w:rPr>
          <w:t xml:space="preserve">http://archive.org/details/insteadofprisons00knop</w:t>
        </w:r>
      </w:hyperlink>
    </w:p>
    <w:bookmarkEnd w:id="69"/>
    <w:bookmarkStart w:id="70"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70"/>
    <w:bookmarkStart w:id="71"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71"/>
    <w:bookmarkStart w:id="72"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72"/>
    <w:bookmarkStart w:id="74" w:name="X6a930793a33cb557407da3768bade91857cc1d7"/>
    <w:p>
      <w:pPr>
        <w:pStyle w:val="Bibliography"/>
      </w:pPr>
      <w:r>
        <w:t xml:space="preserve">Ministry of Justice. (2020, October). Story of the prison population 1993 to 2020, Ministry of Justice. Retrieved from</w:t>
      </w:r>
      <w:r>
        <w:t xml:space="preserve"> </w:t>
      </w:r>
      <w:hyperlink r:id="rId73">
        <w:r>
          <w:rPr>
            <w:rStyle w:val="Hyperlink"/>
          </w:rPr>
          <w:t xml:space="preserve">https://www.gov.uk/government/statistics/story-of-the-prison-population-1993-to-2020</w:t>
        </w:r>
      </w:hyperlink>
    </w:p>
    <w:bookmarkEnd w:id="74"/>
    <w:bookmarkStart w:id="75" w:name="ref-morelandOrdinaryMurder2001"/>
    <w:p>
      <w:pPr>
        <w:pStyle w:val="Bibliography"/>
      </w:pPr>
      <w:r>
        <w:t xml:space="preserve">Moreland, L. (2001).</w:t>
      </w:r>
      <w:r>
        <w:t xml:space="preserve"> </w:t>
      </w:r>
      <w:r>
        <w:rPr>
          <w:i/>
          <w:iCs/>
        </w:rPr>
        <w:t xml:space="preserve">An ordinary murder</w:t>
      </w:r>
      <w:r>
        <w:t xml:space="preserve">, London: Aurum.</w:t>
      </w:r>
    </w:p>
    <w:bookmarkEnd w:id="75"/>
    <w:bookmarkStart w:id="77" w:name="ref-nellisQuakersPenalReform2013"/>
    <w:p>
      <w:pPr>
        <w:pStyle w:val="Bibliography"/>
      </w:pPr>
      <w:r>
        <w:t xml:space="preserve">Nellis, M., &amp; Waugh, M. (2013).</w:t>
      </w:r>
      <w:r>
        <w:t xml:space="preserve"> </w:t>
      </w:r>
      <w:hyperlink r:id="rId76">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77"/>
    <w:bookmarkStart w:id="7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78"/>
    <w:bookmarkStart w:id="79"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79"/>
    <w:bookmarkStart w:id="80"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80"/>
    <w:bookmarkStart w:id="82"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81">
        <w:r>
          <w:rPr>
            <w:rStyle w:val="Hyperlink"/>
          </w:rPr>
          <w:t xml:space="preserve">http://www.quaker.org.uk/files/Circles-of-Support-six-year-report.pdf</w:t>
        </w:r>
      </w:hyperlink>
    </w:p>
    <w:bookmarkEnd w:id="82"/>
    <w:bookmarkStart w:id="83" w:name="ref-vApology2019"/>
    <w:p>
      <w:pPr>
        <w:pStyle w:val="Bibliography"/>
      </w:pPr>
      <w:r>
        <w:t xml:space="preserve">V. (2019).</w:t>
      </w:r>
      <w:r>
        <w:t xml:space="preserve"> </w:t>
      </w:r>
      <w:r>
        <w:rPr>
          <w:i/>
          <w:iCs/>
        </w:rPr>
        <w:t xml:space="preserve">The apology</w:t>
      </w:r>
      <w:r>
        <w:t xml:space="preserve">, New York: Bloomsbury Publishing.</w:t>
      </w:r>
    </w:p>
    <w:bookmarkEnd w:id="83"/>
    <w:bookmarkEnd w:id="84"/>
    <w:bookmarkEnd w:id="8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w:t>
      </w:r>
      <w:r>
        <w:t xml:space="preserve"> </w:t>
      </w:r>
      <w:r>
        <w:t xml:space="preserve">“Grendon”</w:t>
      </w:r>
      <w:r>
        <w:t xml:space="preserve">. And sure enough, later in the interview he mentioned that he had done part of his sentence there.</w:t>
      </w:r>
    </w:p>
  </w:footnote>
  <w:footnote w:id="31">
    <w:p>
      <w:pPr>
        <w:pStyle w:val="FootnoteText"/>
      </w:pPr>
      <w:r>
        <w:rPr>
          <w:rStyle w:val="FootnoteReference"/>
        </w:rPr>
        <w:footnoteRef/>
      </w:r>
      <w:r>
        <w:t xml:space="preserve"> </w:t>
      </w:r>
      <w:r>
        <w:t xml:space="preserve">Time is short, so if you’re interested, the</w:t>
      </w:r>
      <w:r>
        <w:t xml:space="preserve"> </w:t>
      </w:r>
      <w:hyperlink r:id="rId32">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34">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w:t>
      </w:r>
      <w:r>
        <w:t xml:space="preserve"> </w:t>
      </w:r>
      <w:r>
        <w:t xml:space="preserve">‘normal’</w:t>
      </w:r>
      <w:r>
        <w:t xml:space="preserve"> </w:t>
      </w:r>
      <w:r>
        <w:t xml:space="preserve">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36">
    <w:p>
      <w:pPr>
        <w:pStyle w:val="FootnoteText"/>
      </w:pPr>
      <w:r>
        <w:rPr>
          <w:rStyle w:val="FootnoteReference"/>
        </w:rPr>
        <w:footnoteRef/>
      </w:r>
      <w:r>
        <w:t xml:space="preserve"> </w:t>
      </w:r>
      <w:r>
        <w:t xml:space="preserve">A lengthy extract can be found in Quaker Faith &amp; Practice, at 23.103.</w:t>
      </w:r>
    </w:p>
  </w:footnote>
  <w:footnote w:id="37">
    <w:p>
      <w:pPr>
        <w:pStyle w:val="FootnoteText"/>
      </w:pPr>
      <w:r>
        <w:rPr>
          <w:rStyle w:val="FootnoteReference"/>
        </w:rPr>
        <w:footnoteRef/>
      </w:r>
      <w:r>
        <w:t xml:space="preserve"> </w:t>
      </w:r>
      <w:r>
        <w:t xml:space="preserve">This is a fiction, of course, but a useful one. None of us has ever actually said, as Lampen puts it,</w:t>
      </w:r>
      <w:r>
        <w:t xml:space="preserve"> </w:t>
      </w:r>
      <w:r>
        <w:t xml:space="preserve">“I voluntarily surrender my right of retaliation to the state”</w:t>
      </w:r>
      <w:r>
        <w:t xml:space="preserv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w:t>
      </w:r>
      <w:r>
        <w:t xml:space="preserve"> </w:t>
      </w:r>
      <w:r>
        <w:t xml:space="preserve">“An eye for an eye makes the whole world blind”</w:t>
      </w:r>
      <w:r>
        <w:t xml:space="preserve">,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38">
    <w:p>
      <w:pPr>
        <w:pStyle w:val="FootnoteText"/>
      </w:pPr>
      <w:r>
        <w:rPr>
          <w:rStyle w:val="FootnoteReference"/>
        </w:rPr>
        <w:footnoteRef/>
      </w:r>
      <w:r>
        <w:t xml:space="preserve"> </w:t>
      </w:r>
      <w:r>
        <w:t xml:space="preserve">V was formerly known as Eve Ensler. Thanks to Alice Ievins for recommending the book.</w:t>
      </w:r>
    </w:p>
  </w:footnote>
  <w:footnote w:id="39">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41">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w:t>
      </w:r>
      <w:r>
        <w:t xml:space="preserve"> </w:t>
      </w:r>
      <w:r>
        <w:t xml:space="preserve">‘whole life order’</w:t>
      </w:r>
      <w:r>
        <w:t xml:space="preserve">,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42">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49">
    <w:p>
      <w:pPr>
        <w:pStyle w:val="FootnoteText"/>
      </w:pPr>
      <w:r>
        <w:rPr>
          <w:rStyle w:val="FootnoteReference"/>
        </w:rPr>
        <w:footnoteRef/>
      </w:r>
      <w:r>
        <w:t xml:space="preserve"> </w:t>
      </w:r>
      <w:r>
        <w:t xml:space="preserve">This excerpt can also be found in Quaker Faith &amp; Practice, at 10.18.</w:t>
      </w:r>
    </w:p>
  </w:footnote>
  <w:footnote w:id="53">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2025-11-05T18:53:27Z</dcterms:created>
  <dcterms:modified xsi:type="dcterms:W3CDTF">2025-11-05T18:53:27Z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jarmanGettingWhatWe2024.bib</vt:lpwstr>
  </property>
  <property fmtid="{D5CDD505-2E9C-101B-9397-08002B2CF9AE}" pid="6" name="by-affiliation">
    <vt:lpwstr/>
  </property>
  <property fmtid="{D5CDD505-2E9C-101B-9397-08002B2CF9AE}" pid="7" name="categories">
    <vt:lpwstr>lecture</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2024-07-27</vt:lpwstr>
  </property>
  <property fmtid="{D5CDD505-2E9C-101B-9397-08002B2CF9AE}" pid="13" name="date-format">
    <vt:lpwstr>iso</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Imprisonment and the challenge of doing justice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https://www.youtube.com/watch?v=vwqolkC0nnc</vt:lpwstr>
  </property>
</Properties>
</file>