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23">
              <w:r>
                <w:rPr>
                  <w:rStyle w:val="Hyperlink"/>
                </w:rPr>
                <w:t xml:space="preserve">the Review’s webpage</w:t>
              </w:r>
            </w:hyperlink>
            <w:r>
              <w:t xml:space="preserve">.</w:t>
            </w:r>
          </w:p>
          <w:p/>
        </w:tc>
      </w:tr>
    </w:tbl>
    <w:p>
      <w:r>
        <w:br w:type="page"/>
      </w:r>
    </w:p>
    <w:bookmarkStart w:id="43"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24">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25"/>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26"/>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27"/>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28"/>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bmhj1v24\scoop\apps\quarto\current\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31">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32">
              <w:r>
                <w:rPr>
                  <w:rStyle w:val="Hyperlink"/>
                </w:rPr>
                <w:t xml:space="preserve">Research Fellow</w:t>
              </w:r>
            </w:hyperlink>
            <w:r>
              <w:t xml:space="preserve"> </w:t>
            </w:r>
            <w:r>
              <w:t xml:space="preserve">in December 2024. I hold</w:t>
            </w:r>
            <w:r>
              <w:t xml:space="preserve"> </w:t>
            </w:r>
            <w:hyperlink r:id="rId33">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34">
              <w:r>
                <w:rPr>
                  <w:rStyle w:val="Hyperlink"/>
                </w:rPr>
                <w:t xml:space="preserve">Building Futures project</w:t>
              </w:r>
            </w:hyperlink>
            <w:r>
              <w:t xml:space="preserve">, co-authoring</w:t>
            </w:r>
            <w:r>
              <w:t xml:space="preserve"> </w:t>
            </w:r>
            <w:hyperlink r:id="rId35">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36">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37">
              <w:r>
                <w:rPr>
                  <w:rStyle w:val="Hyperlink"/>
                  <w:i/>
                  <w:iCs/>
                </w:rPr>
                <w:t xml:space="preserve">British Journal of Criminology</w:t>
              </w:r>
            </w:hyperlink>
            <w:r>
              <w:t xml:space="preserve"> </w:t>
            </w:r>
            <w:r>
              <w:t xml:space="preserve">and the</w:t>
            </w:r>
            <w:r>
              <w:t xml:space="preserve"> </w:t>
            </w:r>
            <w:hyperlink r:id="rId38">
              <w:r>
                <w:rPr>
                  <w:rStyle w:val="Hyperlink"/>
                  <w:i/>
                  <w:iCs/>
                </w:rPr>
                <w:t xml:space="preserve">Prison Service Journal</w:t>
              </w:r>
            </w:hyperlink>
            <w:r>
              <w:t xml:space="preserve">. I also gave the</w:t>
            </w:r>
            <w:r>
              <w:t xml:space="preserve"> </w:t>
            </w:r>
            <w:hyperlink r:id="rId39">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40">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41">
              <w:r>
                <w:rPr>
                  <w:rStyle w:val="Hyperlink"/>
                </w:rPr>
                <w:t xml:space="preserve">Clinks</w:t>
              </w:r>
            </w:hyperlink>
            <w:r>
              <w:t xml:space="preserve"> </w:t>
            </w:r>
            <w:r>
              <w:t xml:space="preserve">and</w:t>
            </w:r>
            <w:r>
              <w:t xml:space="preserve"> </w:t>
            </w:r>
            <w:hyperlink r:id="rId42">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43"/>
    <w:bookmarkStart w:id="111" w:name="response"/>
    <w:p>
      <w:pPr>
        <w:pStyle w:val="Heading1"/>
      </w:pPr>
      <w:r>
        <w:t xml:space="preserve">Response</w:t>
      </w:r>
    </w:p>
    <w:bookmarkStart w:id="57"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mhj1v24\scoop\apps\quarto\current\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50"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47"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47"/>
    <w:bookmarkStart w:id="48"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48"/>
    <w:bookmarkStart w:id="49"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49"/>
    <w:bookmarkEnd w:id="50"/>
    <w:bookmarkStart w:id="56" w:name="X2a464fbfcd1765efc21bb5c8b960c98db2f3a64"/>
    <w:p>
      <w:pPr>
        <w:pStyle w:val="Heading3"/>
      </w:pPr>
      <w:r>
        <w:t xml:space="preserve">Detailed response: the long-term drivers of capacity pressures</w:t>
      </w:r>
    </w:p>
    <w:bookmarkStart w:id="51"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51"/>
    <w:bookmarkStart w:id="52"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52"/>
    <w:bookmarkStart w:id="53"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53"/>
    <w:bookmarkStart w:id="54"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54"/>
    <w:bookmarkStart w:id="55"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55"/>
    <w:bookmarkEnd w:id="56"/>
    <w:bookmarkEnd w:id="57"/>
    <w:bookmarkStart w:id="76"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bmhj1v24\scoop\apps\quarto\current\share\formats\docx\tip.png" id="5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63"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60"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60"/>
    <w:bookmarkStart w:id="61"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61"/>
    <w:bookmarkStart w:id="62"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62"/>
    <w:bookmarkEnd w:id="63"/>
    <w:bookmarkStart w:id="75"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w:t>
      </w:r>
      <w:r>
        <w:t xml:space="preserve"> </w:t>
      </w:r>
      <w:r>
        <w:t xml:space="preserve">“consider […] how external campaigns influence policy”</w:t>
      </w:r>
      <w:r>
        <w:t xml:space="preserve">.</w:t>
      </w:r>
    </w:p>
    <w:p>
      <w:pPr>
        <w:pStyle w:val="BodyText"/>
      </w:pPr>
      <w:r>
        <w:t xml:space="preserve">These references imply, subtly, that</w:t>
      </w:r>
      <w:r>
        <w:t xml:space="preserve"> </w:t>
      </w:r>
      <w:r>
        <w:t xml:space="preserve">“the public”</w:t>
      </w:r>
      <w:r>
        <w:t xml:space="preserve"> </w:t>
      </w:r>
      <w:r>
        <w:t xml:space="preserve">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64"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64"/>
    <w:bookmarkStart w:id="65"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65"/>
    <w:bookmarkStart w:id="68"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66"/>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w:t>
      </w:r>
      <w:r>
        <w:t xml:space="preserve"> </w:t>
      </w:r>
      <w:r>
        <w:t xml:space="preserve">“valued beginning”</w:t>
      </w:r>
      <w:r>
        <w:t xml:space="preserve">,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67"/>
      </w:r>
      <w:r>
        <w:t xml:space="preserve"> </w:t>
      </w:r>
      <w:r>
        <w:t xml:space="preserve">There is no obvious reason to suppose that the UK public would depart from this pattern.</w:t>
      </w:r>
    </w:p>
    <w:bookmarkEnd w:id="68"/>
    <w:bookmarkStart w:id="71"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69"/>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70"/>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71"/>
    <w:bookmarkStart w:id="72"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72"/>
    <w:bookmarkStart w:id="73"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73"/>
    <w:bookmarkStart w:id="74"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74"/>
    <w:bookmarkEnd w:id="75"/>
    <w:bookmarkEnd w:id="76"/>
    <w:bookmarkStart w:id="93"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mhj1v24\scoop\apps\quarto\current\share\formats\docx\tip.png" id="7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82"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79"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w:t>
      </w:r>
      <w:r>
        <w:t xml:space="preserve"> </w:t>
      </w:r>
      <w:r>
        <w:t xml:space="preserve">“false positives”</w:t>
      </w:r>
      <w:r>
        <w:t xml:space="preserve"> </w:t>
      </w:r>
      <w:r>
        <w:t xml:space="preserve">and</w:t>
      </w:r>
      <w:r>
        <w:t xml:space="preserve"> </w:t>
      </w:r>
      <w:r>
        <w:t xml:space="preserve">“false negatives”</w:t>
      </w:r>
      <w:r>
        <w:t xml:space="preserve"> </w:t>
      </w:r>
      <w:r>
        <w:t xml:space="preserve">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79"/>
    <w:bookmarkStart w:id="80"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80"/>
    <w:bookmarkStart w:id="81"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81"/>
    <w:bookmarkEnd w:id="82"/>
    <w:bookmarkStart w:id="92"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83"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w:t>
      </w:r>
      <w:r>
        <w:t xml:space="preserve"> </w:t>
      </w:r>
      <w:r>
        <w:t xml:space="preserve">“distinguishes between the treatment of”</w:t>
      </w:r>
      <w:r>
        <w:t xml:space="preserve">dangerous” 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w:t>
      </w:r>
      <w:r>
        <w:t xml:space="preserve"> </w:t>
      </w:r>
      <w:r>
        <w:t xml:space="preserve">“an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83"/>
    <w:bookmarkStart w:id="84"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84"/>
    <w:bookmarkStart w:id="85"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w:t>
      </w:r>
      <w:r>
        <w:t xml:space="preserve"> </w:t>
      </w:r>
      <w:r>
        <w:t xml:space="preserve">‘evidence-based’</w:t>
      </w:r>
      <w:r>
        <w:t xml:space="preserve">), which in turn results in the rationing and demand management of these interventions. This situation has become the context for many of the difficulties with sentence progression described in the following section.</w:t>
      </w:r>
    </w:p>
    <w:bookmarkEnd w:id="85"/>
    <w:bookmarkStart w:id="86"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86"/>
    <w:bookmarkStart w:id="88"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87"/>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88"/>
    <w:bookmarkStart w:id="89"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89"/>
    <w:bookmarkStart w:id="90"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90"/>
    <w:bookmarkStart w:id="91"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91"/>
    <w:bookmarkEnd w:id="92"/>
    <w:bookmarkEnd w:id="93"/>
    <w:bookmarkStart w:id="110"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bmhj1v24\scoop\apps\quarto\current\share\formats\docx\tip.png" id="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99"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96"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96"/>
    <w:bookmarkStart w:id="97"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97"/>
    <w:bookmarkStart w:id="98"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98"/>
    <w:bookmarkEnd w:id="99"/>
    <w:bookmarkStart w:id="109" w:name="X4552db4e114347c7821fb3bd6f588abc7da8856"/>
    <w:p>
      <w:pPr>
        <w:pStyle w:val="Heading3"/>
      </w:pPr>
      <w:r>
        <w:t xml:space="preserve">Detailed response: different approaches to sentence-based incentives</w:t>
      </w:r>
    </w:p>
    <w:bookmarkStart w:id="101"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100"/>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101"/>
    <w:bookmarkStart w:id="102"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102"/>
    <w:bookmarkStart w:id="105"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w:t>
      </w:r>
      <w:r>
        <w:t xml:space="preserve">“falta grave”</w:t>
      </w:r>
      <w:r>
        <w:t xml:space="preserve">) in prison, then a judge may revoke up to one-third of the time already remitted.</w:t>
      </w:r>
      <w:r>
        <w:rPr>
          <w:rStyle w:val="FootnoteReference"/>
        </w:rPr>
        <w:footnoteReference w:id="103"/>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104"/>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105"/>
    <w:bookmarkStart w:id="107"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106"/>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107"/>
    <w:bookmarkStart w:id="108"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108"/>
    <w:bookmarkEnd w:id="109"/>
    <w:bookmarkEnd w:id="110"/>
    <w:bookmarkEnd w:id="111"/>
    <w:bookmarkStart w:id="129" w:name="references"/>
    <w:p>
      <w:pPr>
        <w:pStyle w:val="Heading1"/>
      </w:pPr>
      <w:r>
        <w:t xml:space="preserve">References</w:t>
      </w:r>
    </w:p>
    <w:bookmarkStart w:id="128" w:name="refs"/>
    <w:bookmarkStart w:id="113"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12">
        <w:r>
          <w:rPr>
            <w:rStyle w:val="Hyperlink"/>
          </w:rPr>
          <w:t xml:space="preserve">10.1007/978-1-4614-5690-2_492</w:t>
        </w:r>
      </w:hyperlink>
      <w:r>
        <w:t xml:space="preserve">.</w:t>
      </w:r>
    </w:p>
    <w:bookmarkEnd w:id="113"/>
    <w:bookmarkStart w:id="114"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14"/>
    <w:bookmarkStart w:id="115"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15"/>
    <w:bookmarkStart w:id="116"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16"/>
    <w:bookmarkStart w:id="118"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17">
        <w:r>
          <w:rPr>
            <w:rStyle w:val="Hyperlink"/>
          </w:rPr>
          <w:t xml:space="preserve">10.17863/CAM.89107</w:t>
        </w:r>
      </w:hyperlink>
      <w:r>
        <w:t xml:space="preserve">.</w:t>
      </w:r>
    </w:p>
    <w:bookmarkEnd w:id="118"/>
    <w:bookmarkStart w:id="119"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19"/>
    <w:bookmarkStart w:id="120"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20"/>
    <w:bookmarkStart w:id="121"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21"/>
    <w:bookmarkStart w:id="123"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22">
        <w:r>
          <w:rPr>
            <w:rStyle w:val="Hyperlink"/>
          </w:rPr>
          <w:t xml:space="preserve">10.1093/bjc/azae088</w:t>
        </w:r>
      </w:hyperlink>
      <w:r>
        <w:t xml:space="preserve">.</w:t>
      </w:r>
    </w:p>
    <w:bookmarkEnd w:id="123"/>
    <w:bookmarkStart w:id="125"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24">
        <w:r>
          <w:rPr>
            <w:rStyle w:val="Hyperlink"/>
          </w:rPr>
          <w:t xml:space="preserve">10.1177/2066220319895802</w:t>
        </w:r>
      </w:hyperlink>
      <w:r>
        <w:t xml:space="preserve">.</w:t>
      </w:r>
    </w:p>
    <w:bookmarkEnd w:id="125"/>
    <w:bookmarkStart w:id="126"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26"/>
    <w:bookmarkStart w:id="127"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27"/>
    <w:bookmarkEnd w:id="128"/>
    <w:bookmarkEnd w:id="12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Developed in more detail under Theme 2.</w:t>
      </w:r>
    </w:p>
  </w:footnote>
  <w:footnote w:id="26">
    <w:p>
      <w:pPr>
        <w:pStyle w:val="FootnoteText"/>
      </w:pPr>
      <w:r>
        <w:rPr>
          <w:rStyle w:val="FootnoteReference"/>
        </w:rPr>
        <w:footnoteRef/>
      </w:r>
      <w:r>
        <w:t xml:space="preserve"> </w:t>
      </w:r>
      <w:r>
        <w:t xml:space="preserve">Developed in more detail under Theme 6, with additional context under Theme 5.</w:t>
      </w:r>
    </w:p>
  </w:footnote>
  <w:footnote w:id="27">
    <w:p>
      <w:pPr>
        <w:pStyle w:val="FootnoteText"/>
      </w:pPr>
      <w:r>
        <w:rPr>
          <w:rStyle w:val="FootnoteReference"/>
        </w:rPr>
        <w:footnoteRef/>
      </w:r>
      <w:r>
        <w:t xml:space="preserve"> </w:t>
      </w:r>
      <w:r>
        <w:t xml:space="preserve">Developed primarily under Theme 5, with some implementation details under Theme 6.</w:t>
      </w:r>
    </w:p>
  </w:footnote>
  <w:footnote w:id="28">
    <w:p>
      <w:pPr>
        <w:pStyle w:val="FootnoteText"/>
      </w:pPr>
      <w:r>
        <w:rPr>
          <w:rStyle w:val="FootnoteReference"/>
        </w:rPr>
        <w:footnoteRef/>
      </w:r>
      <w:r>
        <w:t xml:space="preserve"> </w:t>
      </w:r>
      <w:r>
        <w:t xml:space="preserve">Addressed across multiple Themes, particularly 2 and 5.</w:t>
      </w:r>
    </w:p>
  </w:footnote>
  <w:footnote w:id="66">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67">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69">
    <w:p>
      <w:pPr>
        <w:pStyle w:val="FootnoteText"/>
      </w:pPr>
      <w:r>
        <w:rPr>
          <w:rStyle w:val="FootnoteReference"/>
        </w:rPr>
        <w:footnoteRef/>
      </w:r>
      <w:r>
        <w:t xml:space="preserve"> </w:t>
      </w:r>
      <w:r>
        <w:t xml:space="preserve">Except the 25-year starting point for murders involving a knife.</w:t>
      </w:r>
    </w:p>
  </w:footnote>
  <w:footnote w:id="70">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87">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100">
    <w:p>
      <w:pPr>
        <w:pStyle w:val="FootnoteText"/>
      </w:pPr>
      <w:r>
        <w:rPr>
          <w:rStyle w:val="FootnoteReference"/>
        </w:rPr>
        <w:footnoteRef/>
      </w:r>
      <w:r>
        <w:t xml:space="preserve"> </w:t>
      </w:r>
      <w:r>
        <w:t xml:space="preserve">Arizona, California, and Texas.</w:t>
      </w:r>
    </w:p>
  </w:footnote>
  <w:footnote w:id="103">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w:t>
      </w:r>
      <w:r>
        <w:t xml:space="preserve">‘juiz da vara de execução penal’</w:t>
      </w:r>
      <w:r>
        <w:t xml:space="preserve">). Brazil’s Supreme Court has upheld the arrangement whereby one-third of remission can be rescinded as constitutional.</w:t>
      </w:r>
    </w:p>
  </w:footnote>
  <w:footnote w:id="104">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106">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4" Target="media/rId44.png" /><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2025-11-05T18:53:49Z</dcterms:created>
  <dcterms:modified xsi:type="dcterms:W3CDTF">2025-11-05T18:53:49Z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