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w:t>
      </w:r>
      <w:r>
        <w:t xml:space="preserve"> </w:t>
      </w:r>
      <w:r>
        <w:t xml:space="preserve">‘Unlocking potential: towards effective, sustainable, and ethical provision of work opportunities for prisoners and prison leavers’</w:t>
      </w:r>
      <w:r>
        <w:t xml:space="preserve">.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2025-11-05T18:53:53Z</dcterms:created>
  <dcterms:modified xsi:type="dcterms:W3CDTF">2025-11-05T18:53:53Z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jarmanLabouringBarsAssessing2023.bib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2023-11-09</vt:lpwstr>
  </property>
  <property fmtid="{D5CDD505-2E9C-101B-9397-08002B2CF9AE}" pid="13" name="date-format">
    <vt:lpwstr>iso</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Assessing international law on working prisoners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https://eprints.bbk.ac.uk/id/eprint/53263/</vt:lpwstr>
  </property>
</Properties>
</file>