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8" w:name="setting-the-scene"/>
    <w:p>
      <w:pPr>
        <w:pStyle w:val="Heading1"/>
      </w:pPr>
      <w:r>
        <w:t xml:space="preserve">Setting the scene</w:t>
      </w:r>
      <w:r>
        <w:t xml:space="preserve"> </w:t>
      </w:r>
    </w:p>
    <w:bookmarkStart w:id="24"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24"/>
    <w:bookmarkStart w:id="26" w:name="what-is-openness"/>
    <w:p>
      <w:pPr>
        <w:pStyle w:val="Heading2"/>
      </w:pPr>
      <w:r>
        <w:t xml:space="preserve">What is</w:t>
      </w:r>
      <w:r>
        <w:t xml:space="preserve"> </w:t>
      </w:r>
      <w:r>
        <w:t xml:space="preserve">‘openness’</w:t>
      </w:r>
      <w:r>
        <w:t xml:space="preserve">?</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w:t>
      </w:r>
      <w:r>
        <w:t xml:space="preserve"> </w:t>
      </w:r>
      <w:r>
        <w:t xml:space="preserve">“the idea that scientific knowledge of all kinds should be openly shared as early as it is practical in the discovery process.”</w:t>
      </w:r>
      <w:r>
        <w:t xml:space="preserve"> </w:t>
      </w:r>
      <w:r>
        <w:t xml:space="preserve">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w:t>
      </w:r>
      <w:hyperlink w:anchor="X6a8158a74965d42fffc0b5345fd10d502d2b22c">
        <w:r>
          <w:rPr>
            <w:rStyle w:val="Hyperlink"/>
          </w:rPr>
          <w:t xml:space="preserve">Bucerius &amp; Copes 2024</w:t>
        </w:r>
      </w:hyperlink>
      <w:r>
        <w:t xml:space="preserve">; e.g.</w:t>
      </w:r>
      <w:r>
        <w:t xml:space="preserve"> </w:t>
      </w:r>
      <w:hyperlink w:anchor="ref-hanchardFosteringOpenQualitative2023">
        <w:r>
          <w:rPr>
            <w:rStyle w:val="Hyperlink"/>
          </w:rPr>
          <w:t xml:space="preserve">Hanchard &amp; San Roman Pineda 2023</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w:t>
      </w:r>
      <w:r>
        <w:t xml:space="preserve"> </w:t>
      </w:r>
      <w:r>
        <w:t xml:space="preserve">“to be made as open as possible and as restricted as necessary”</w:t>
      </w:r>
      <w:r>
        <w:t xml:space="preserve">.</w:t>
      </w:r>
      <w:r>
        <w:rPr>
          <w:rStyle w:val="FootnoteReference"/>
        </w:rPr>
        <w:footnoteReference w:id="25"/>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w:t>
      </w:r>
      <w:r>
        <w:t xml:space="preserve"> </w:t>
      </w:r>
      <w:r>
        <w:t xml:space="preserve">‘Open Data agenda’</w:t>
      </w:r>
      <w:r>
        <w:t xml:space="preserve">, favouring data publication by default, and making the case in terms derived from the STEMM subjects and quantitative social sciences. How can we as qualitative researchers engage with this agenda?</w:t>
      </w:r>
    </w:p>
    <w:bookmarkEnd w:id="26"/>
    <w:bookmarkStart w:id="27"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27"/>
    <w:bookmarkEnd w:id="28"/>
    <w:bookmarkStart w:id="34" w:name="X111040b53d444492ab4ed5e416839092d039101"/>
    <w:p>
      <w:pPr>
        <w:pStyle w:val="Heading1"/>
      </w:pPr>
      <w:r>
        <w:t xml:space="preserve">Understanding</w:t>
      </w:r>
      <w:r>
        <w:t xml:space="preserve"> </w:t>
      </w:r>
      <w:r>
        <w:t xml:space="preserve">‘openness’</w:t>
      </w:r>
      <w:r>
        <w:t xml:space="preserve"> </w:t>
      </w:r>
      <w:r>
        <w:t xml:space="preserve">and qualitative data</w:t>
      </w:r>
      <w:r>
        <w:t xml:space="preserve"> </w:t>
      </w:r>
    </w:p>
    <w:bookmarkStart w:id="32" w:name="Xfaa0fca661cd68a2ef59113d3c2fc47922ac512"/>
    <w:p>
      <w:pPr>
        <w:pStyle w:val="Heading2"/>
      </w:pPr>
      <w:r>
        <w:t xml:space="preserve">Theoretical frameworks and their limitations</w:t>
      </w:r>
      <w:r>
        <w:t xml:space="preserve"> </w:t>
      </w:r>
    </w:p>
    <w:bookmarkStart w:id="30"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29"/>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30"/>
    <w:bookmarkStart w:id="31"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w:t>
      </w:r>
      <w:r>
        <w:t xml:space="preserve"> </w:t>
      </w:r>
      <w:r>
        <w:t xml:space="preserve">‘openness’</w:t>
      </w:r>
      <w:r>
        <w:t xml:space="preserve">,</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w:t>
      </w:r>
      <w:r>
        <w:t xml:space="preserve"> </w:t>
      </w:r>
      <w:r>
        <w:t xml:space="preserve">‘owns’</w:t>
      </w:r>
      <w:r>
        <w:t xml:space="preserve"> </w:t>
      </w:r>
      <w:r>
        <w:t xml:space="preserve">the data, and the knowledge that comes from it? My funder? Me? My university? My participants? The Prison Service? What I’m trying to say is that I think this isn’t a very good question. Instead of asking</w:t>
      </w:r>
      <w:r>
        <w:t xml:space="preserve"> </w:t>
      </w:r>
      <w:r>
        <w:t xml:space="preserve">‘whose data is it?’</w:t>
      </w:r>
      <w:r>
        <w:t xml:space="preserve">, we might ask,</w:t>
      </w:r>
      <w:r>
        <w:t xml:space="preserve"> </w:t>
      </w:r>
      <w:r>
        <w:t xml:space="preserve">‘what responsibilities arise from how this knowledge came into being?’</w:t>
      </w:r>
      <w:r>
        <w:t xml:space="preserve"> </w:t>
      </w:r>
      <w:r>
        <w:t xml:space="preserve">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31"/>
    <w:bookmarkEnd w:id="32"/>
    <w:bookmarkStart w:id="33"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w:t>
      </w:r>
      <w:r>
        <w:t xml:space="preserve"> </w:t>
      </w:r>
      <w:r>
        <w:t xml:space="preserve">“reproducibility”</w:t>
      </w:r>
      <w:r>
        <w:t xml:space="preserve"> </w:t>
      </w:r>
      <w:r>
        <w:t xml:space="preserve">and</w:t>
      </w:r>
      <w:r>
        <w:t xml:space="preserve"> </w:t>
      </w:r>
      <w:r>
        <w:t xml:space="preserve">“generalizability”</w:t>
      </w:r>
      <w:r>
        <w:t xml:space="preserve">.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33"/>
    <w:bookmarkEnd w:id="34"/>
    <w:bookmarkStart w:id="37" w:name="ways-forward"/>
    <w:p>
      <w:pPr>
        <w:pStyle w:val="Heading1"/>
      </w:pPr>
      <w:r>
        <w:t xml:space="preserve">Ways forward?</w:t>
      </w:r>
      <w:r>
        <w:t xml:space="preserve"> </w:t>
      </w:r>
    </w:p>
    <w:bookmarkStart w:id="35"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w:t>
      </w:r>
      <w:r>
        <w:t xml:space="preserve"> </w:t>
      </w:r>
      <w:r>
        <w:t xml:space="preserve">‘re-renderability’</w:t>
      </w:r>
      <w:r>
        <w:t xml:space="preserve"> </w:t>
      </w:r>
      <w:r>
        <w:t xml:space="preserve">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35"/>
    <w:bookmarkStart w:id="36"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w:t>
      </w:r>
      <w:r>
        <w:t xml:space="preserve"> </w:t>
      </w:r>
      <w:r>
        <w:t xml:space="preserve">‘whose data is it?’</w:t>
      </w:r>
      <w:r>
        <w:t xml:space="preserve">,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36"/>
    <w:bookmarkEnd w:id="37"/>
    <w:bookmarkStart w:id="69" w:name="references"/>
    <w:p>
      <w:pPr>
        <w:pStyle w:val="Heading1"/>
      </w:pPr>
      <w:r>
        <w:t xml:space="preserve">References</w:t>
      </w:r>
    </w:p>
    <w:bookmarkStart w:id="68" w:name="refs"/>
    <w:bookmarkStart w:id="39"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38">
        <w:r>
          <w:rPr>
            <w:rStyle w:val="Hyperlink"/>
          </w:rPr>
          <w:t xml:space="preserve">10.20933/100001312</w:t>
        </w:r>
      </w:hyperlink>
    </w:p>
    <w:bookmarkEnd w:id="39"/>
    <w:bookmarkStart w:id="41" w:name="X9b0ad5752d18c862ed632da3a0d1f5cb70c6f63"/>
    <w:p>
      <w:pPr>
        <w:pStyle w:val="Bibliography"/>
      </w:pPr>
      <w:r>
        <w:t xml:space="preserve">Ashby, M. P. J. (2020).</w:t>
      </w:r>
      <w:r>
        <w:t xml:space="preserve"> </w:t>
      </w:r>
      <w:hyperlink r:id="rId40">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41"/>
    <w:bookmarkStart w:id="43" w:name="X6a8158a74965d42fffc0b5345fd10d502d2b22c"/>
    <w:p>
      <w:pPr>
        <w:pStyle w:val="Bibliography"/>
      </w:pPr>
      <w:r>
        <w:t xml:space="preserve">Bucerius, S., &amp; Copes, H. (2024).</w:t>
      </w:r>
      <w:r>
        <w:t xml:space="preserve"> </w:t>
      </w:r>
      <w:hyperlink r:id="rId42">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43"/>
    <w:bookmarkStart w:id="45"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44">
        <w:r>
          <w:rPr>
            <w:rStyle w:val="Hyperlink"/>
          </w:rPr>
          <w:t xml:space="preserve">10.5334/dsj-2020-043</w:t>
        </w:r>
      </w:hyperlink>
    </w:p>
    <w:bookmarkEnd w:id="45"/>
    <w:bookmarkStart w:id="47"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46">
        <w:r>
          <w:rPr>
            <w:rStyle w:val="Hyperlink"/>
          </w:rPr>
          <w:t xml:space="preserve">10.21428/cb6ab371.e42226cb</w:t>
        </w:r>
      </w:hyperlink>
    </w:p>
    <w:bookmarkEnd w:id="47"/>
    <w:bookmarkStart w:id="48"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48"/>
    <w:bookmarkStart w:id="50" w:name="Xd0f3c986a2f8c6ed622f36bdd6c690b6cd420a3"/>
    <w:p>
      <w:pPr>
        <w:pStyle w:val="Bibliography"/>
      </w:pPr>
      <w:r>
        <w:t xml:space="preserve">Greene-Colozzi, E., &amp; Freilich, J. D. (2024).</w:t>
      </w:r>
      <w:r>
        <w:t xml:space="preserve"> </w:t>
      </w:r>
      <w:hyperlink r:id="rId49">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50"/>
    <w:bookmarkStart w:id="52"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51">
        <w:r>
          <w:rPr>
            <w:rStyle w:val="Hyperlink"/>
          </w:rPr>
          <w:t xml:space="preserve">https://orda.shef.ac.uk/articles/report/Fostering_Open_Qualitative_Research_-_Final_Project_Report/24807987/1</w:t>
        </w:r>
      </w:hyperlink>
    </w:p>
    <w:bookmarkEnd w:id="52"/>
    <w:bookmarkStart w:id="54"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53">
        <w:r>
          <w:rPr>
            <w:rStyle w:val="Hyperlink"/>
          </w:rPr>
          <w:t xml:space="preserve">10.21428/cb6ab371.15d7c59e</w:t>
        </w:r>
      </w:hyperlink>
    </w:p>
    <w:bookmarkEnd w:id="54"/>
    <w:bookmarkStart w:id="56" w:name="ref-lavigneRedefiningRigorEmbracing2025"/>
    <w:p>
      <w:pPr>
        <w:pStyle w:val="Bibliography"/>
      </w:pPr>
      <w:r>
        <w:t xml:space="preserve">La Vigne, N. (2025).</w:t>
      </w:r>
      <w:r>
        <w:t xml:space="preserve"> </w:t>
      </w:r>
      <w:hyperlink r:id="rId55">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56"/>
    <w:bookmarkStart w:id="58" w:name="ref-nielsenMichaelNielsenOpen"/>
    <w:p>
      <w:pPr>
        <w:pStyle w:val="Bibliography"/>
      </w:pPr>
      <w:r>
        <w:t xml:space="preserve">Nielsen, M. (n.d.). Michael Nielsen: open science now! | TED talk. Retrieved 3 February 2025, from</w:t>
      </w:r>
      <w:r>
        <w:t xml:space="preserve"> </w:t>
      </w:r>
      <w:hyperlink r:id="rId57">
        <w:r>
          <w:rPr>
            <w:rStyle w:val="Hyperlink"/>
          </w:rPr>
          <w:t xml:space="preserve">https://www.ted.com/talks/michael_nielsen_open_science_now</w:t>
        </w:r>
      </w:hyperlink>
    </w:p>
    <w:bookmarkEnd w:id="58"/>
    <w:bookmarkStart w:id="60" w:name="ref-UKRIDevelopingNew2024"/>
    <w:p>
      <w:pPr>
        <w:pStyle w:val="Bibliography"/>
      </w:pPr>
      <w:r>
        <w:t xml:space="preserve">UKRI developing new research data policy framework. (2024, December 13). Retrieved 3 February 2025, from</w:t>
      </w:r>
      <w:r>
        <w:t xml:space="preserve"> </w:t>
      </w:r>
      <w:hyperlink r:id="rId59">
        <w:r>
          <w:rPr>
            <w:rStyle w:val="Hyperlink"/>
          </w:rPr>
          <w:t xml:space="preserve">https://www.ukri.org/news/ukri-developing-new-research-data-policy-framework/</w:t>
        </w:r>
      </w:hyperlink>
    </w:p>
    <w:bookmarkEnd w:id="60"/>
    <w:bookmarkStart w:id="62"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61">
        <w:r>
          <w:rPr>
            <w:rStyle w:val="Hyperlink"/>
          </w:rPr>
          <w:t xml:space="preserve">https://www.repository.cam.ac.uk/handle/1810/344820</w:t>
        </w:r>
      </w:hyperlink>
    </w:p>
    <w:bookmarkEnd w:id="62"/>
    <w:bookmarkStart w:id="64"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63">
        <w:r>
          <w:rPr>
            <w:rStyle w:val="Hyperlink"/>
          </w:rPr>
          <w:t xml:space="preserve">https://bidenwhitehouse.archives.gov/wp-content/uploads/2022/08/08-2022-OSTP-Public-Access-Memo.pdf</w:t>
        </w:r>
      </w:hyperlink>
    </w:p>
    <w:bookmarkEnd w:id="64"/>
    <w:bookmarkStart w:id="66" w:name="ref-wilkinsonFAIRGuidingPrinciples2016"/>
    <w:p>
      <w:pPr>
        <w:pStyle w:val="Bibliography"/>
      </w:pPr>
      <w:r>
        <w:t xml:space="preserve">Wilkinson, M. D., Dumontier, M., Aalbersberg, Ij. J., … Mons, B. (2016).</w:t>
      </w:r>
      <w:r>
        <w:t xml:space="preserve"> </w:t>
      </w:r>
      <w:hyperlink r:id="rId65">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66"/>
    <w:bookmarkStart w:id="67" w:name="ref-youngExpandingScopeTransparency2024"/>
    <w:p>
      <w:pPr>
        <w:pStyle w:val="Bibliography"/>
      </w:pPr>
      <w:r>
        <w:t xml:space="preserve">Young, J. T. N. (2024).</w:t>
      </w:r>
      <w:r>
        <w:t xml:space="preserve"> </w:t>
      </w:r>
      <w:hyperlink r:id="rId49">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67"/>
    <w:bookmarkEnd w:id="68"/>
    <w:bookmarkEnd w:id="6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29">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2025-11-05T18:54:57Z</dcterms:created>
  <dcterms:modified xsi:type="dcterms:W3CDTF">2025-11-05T18:54:57Z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jarmanWhoseDataAnyway2025.yaml</vt:lpwstr>
  </property>
  <property fmtid="{D5CDD505-2E9C-101B-9397-08002B2CF9AE}" pid="6" name="by-affiliation">
    <vt:lpwstr/>
  </property>
  <property fmtid="{D5CDD505-2E9C-101B-9397-08002B2CF9AE}" pid="7" name="categories">
    <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2025-02-12</vt:lpwstr>
  </property>
  <property fmtid="{D5CDD505-2E9C-101B-9397-08002B2CF9AE}" pid="13" name="date-format">
    <vt:lpwstr>iso</vt:lpwstr>
  </property>
  <property fmtid="{D5CDD505-2E9C-101B-9397-08002B2CF9AE}" pid="14" name="draft">
    <vt:lpwstr>False</vt:lpwstr>
  </property>
  <property fmtid="{D5CDD505-2E9C-101B-9397-08002B2CF9AE}" pid="15" name="editor">
    <vt:lpwstr/>
  </property>
  <property fmtid="{D5CDD505-2E9C-101B-9397-08002B2CF9AE}" pid="16" name="funding">
    <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license">
    <vt:lpwstr/>
  </property>
  <property fmtid="{D5CDD505-2E9C-101B-9397-08002B2CF9AE}" pid="23" name="link-citations">
    <vt:lpwstr>True</vt:lpwstr>
  </property>
  <property fmtid="{D5CDD505-2E9C-101B-9397-08002B2CF9AE}" pid="24" name="numbersections">
    <vt:lpwstr>False</vt:lpwstr>
  </property>
  <property fmtid="{D5CDD505-2E9C-101B-9397-08002B2CF9AE}" pid="25" name="subtitle">
    <vt:lpwstr>Qualitative criminology, prisons, and the Open Research agenda</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https://benjarman.uk/publications/jarmanWhoseDataAnyway2025.html</vt:lpwstr>
  </property>
</Properties>
</file>