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9"/>
      </w:r>
      <w:r>
        <w:t xml:space="preserve"> </w:t>
      </w:r>
      <w:r>
        <w:t xml:space="preserve">I’m still in prison. When I go out, I will still be on licence</w:t>
      </w:r>
      <w:r>
        <w:rPr>
          <w:rStyle w:val="FootnoteReference"/>
        </w:rPr>
        <w:footnoteReference w:id="10"/>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 “how long have I got to do? How long am I going to be here for?” And then it was a year, another year, another year [and] I started thinking, “Pfffft… Part of the furniture now, innit?”</w:t>
      </w:r>
      <w:r>
        <w:rPr>
          <w:rStyle w:val="FootnoteReference"/>
        </w:rPr>
        <w:footnoteReference w:id="11"/>
      </w:r>
    </w:p>
    <w:p>
      <w:pPr>
        <w:pStyle w:val="FirstParagraph"/>
      </w:pPr>
      <w:r>
        <w:t xml:space="preserve">Grant and Jeff were both held in an open prison. Both aged around sixty and both convicted of murder many years before, Grant, who was nearing his ‘tariff’ date,</w:t>
      </w:r>
      <w:r>
        <w:rPr>
          <w:rStyle w:val="FootnoteReference"/>
        </w:rPr>
        <w:footnoteReference w:id="12"/>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 ‘part of the furniture’—a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 ‘in no hurry’.</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 ‘do the right thing’ 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13"/>
    <w:bookmarkStart w:id="15"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(e.g.</w:t>
      </w:r>
      <w:r>
        <w:t xml:space="preserve"> </w:t>
      </w:r>
      <w:hyperlink w:anchor="ref-foucaultHistorySexualityVolume1988">
        <w:r>
          <w:rPr>
            <w:rStyle w:val="Hyperlink"/>
          </w:rPr>
          <w:t xml:space="preserve">1988</w:t>
        </w:r>
      </w:hyperlink>
      <w:r>
        <w:t xml:space="preserve">,</w:t>
      </w:r>
      <w:r>
        <w:t xml:space="preserve"> </w:t>
      </w:r>
      <w:hyperlink w:anchor="ref-foucaultUsesPleasureHistory1986">
        <w:r>
          <w:rPr>
            <w:rStyle w:val="Hyperlink"/>
          </w:rPr>
          <w:t xml:space="preserve">1986</w:t>
        </w:r>
      </w:hyperlink>
      <w:r>
        <w:t xml:space="preserve">)</w:t>
      </w:r>
      <w:r>
        <w:t xml:space="preserve"> </w:t>
      </w:r>
      <w:r>
        <w:t xml:space="preserve">for conceptual and theoretical foundations. In this view, ethics consists in striving to occupy a ‘subject position’.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14"/>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 ‘humanist’ 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 ‘authoritative’ 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 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 ‘moral tragedy’: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 ‘ground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 ‘tight’ 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 ‘ground projects’—or made these projects appear confoundingly difficult to pursue, even to the extent that they might appear (to officials) unethical.</w:t>
      </w:r>
      <w:r>
        <w:t xml:space="preserve"> </w:t>
      </w:r>
    </w:p>
    <w:bookmarkEnd w:id="15"/>
    <w:bookmarkStart w:id="23"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 ‘skills’ needed to better manage his emotions in (presumptively) “healthier” 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 “oh, don’t you trust women?” I said, “no, it’s not to do with that, it’s how I feel”. I said, “supposing I meet someone”, […] I said, “do I take her to the ballet, and then at half-time, over a gin and tonic, I say, ‘oh, by the way, I murdered my wife’?” 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 ‘skills’.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 ‘retributive subject’.</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 ‘skills’ 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16"/>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 “the courses that I’ve done and, like, the bereavement things I’ve done… about changing my beliefs, adapting them, dropping my beliefs completely…” I said, “isn’t it about time you looked at your beliefs?” And he went silent. He just did not know what to say. Because I think he felt that maybe I was right. And then his attitude changed towards me and we got on great guns,</w:t>
      </w:r>
      <w:r>
        <w:rPr>
          <w:rStyle w:val="FootnoteReference"/>
        </w:rPr>
        <w:footnoteReference w:id="17"/>
      </w:r>
      <w:r>
        <w:t xml:space="preserve"> </w:t>
      </w:r>
      <w:r>
        <w:t xml:space="preserve">and we have ever since. I mean, he really has tried to help me.</w:t>
      </w:r>
      <w:r>
        <w:t xml:space="preserve"> </w:t>
      </w:r>
    </w:p>
    <w:p>
      <w:pPr>
        <w:pStyle w:val="FirstParagraph"/>
      </w:pPr>
      <w:r>
        <w:t xml:space="preserve">Offender managers (henceforth ‘OMs’)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 ‘costly signal’ of Grant’s being (ethically speaking) the ‘real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 ‘bad’ 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(“it never came out in court”)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w:t>
        </w:r>
      </w:hyperlink>
      <w:r>
        <w:t xml:space="preserve">, chap. 2)</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 ‘ground project’: it had become so important to who he thought he was that he might “not know [himself]” 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chap. 7;</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Herbert 2019</w:t>
        </w:r>
      </w:hyperlink>
      <w:r>
        <w:t xml:space="preserve">, chaps 2–4;</w:t>
      </w:r>
      <w:r>
        <w:t xml:space="preserve"> </w:t>
      </w:r>
      <w:hyperlink w:anchor="ref-irwinLifersSeekingRedemption2009">
        <w:r>
          <w:rPr>
            <w:rStyle w:val="Hyperlink"/>
          </w:rPr>
          <w:t xml:space="preserve">Irwin 2009</w:t>
        </w:r>
      </w:hyperlink>
      <w:r>
        <w:t xml:space="preserve">, chap. 5)</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18"/>
      </w:r>
      <w:r>
        <w:t xml:space="preserve"> </w:t>
      </w:r>
      <w:r>
        <w:t xml:space="preserve">[…] It has been said to me by OMU</w:t>
      </w:r>
      <w:r>
        <w:rPr>
          <w:rStyle w:val="FootnoteReference"/>
        </w:rPr>
        <w:footnoteReference w:id="19"/>
      </w:r>
      <w:r>
        <w:t xml:space="preserve"> </w:t>
      </w:r>
      <w:r>
        <w:t xml:space="preserve">and my OM…</w:t>
      </w:r>
      <w:r>
        <w:t xml:space="preserve"> </w:t>
      </w:r>
      <w:r>
        <w:t xml:space="preserve">“You know, Grant, you don’t keep badgering</w:t>
      </w:r>
      <w:r>
        <w:rPr>
          <w:rStyle w:val="FootnoteReference"/>
        </w:rPr>
        <w:footnoteReference w:id="20"/>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 “pushing” his needs to the front of the queue by chasing them up. Where others campaigned for home leaves by “manipulating the system” (Grant’s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21"/>
      </w:r>
      <w:r>
        <w:t xml:space="preserve"> </w:t>
      </w:r>
      <w:r>
        <w:t xml:space="preserve">But I’ve got that little bit of hope […] If I was to hear tomorrow that– If I got a letter, saying, “we never want to see you, you horrible bastard” [sobbing] then I’d have nothing. I wouldn’t care about work. I wouldn’t care about getting out […] When I had my risk board,</w:t>
      </w:r>
      <w:r>
        <w:rPr>
          <w:rStyle w:val="FootnoteReference"/>
        </w:rPr>
        <w:footnoteReference w:id="22"/>
      </w:r>
      <w:r>
        <w:t xml:space="preserve"> </w:t>
      </w:r>
      <w:r>
        <w:t xml:space="preserve">the governor, she said to me […] “you can’t try and contact these names”. And two of the names were my children. And she said, “is that an issue?” I went, “yeah, of course it’s a bloody issue, but it’s not a problem” […]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23"/>
    <w:bookmarkStart w:id="25"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 “oh, he’s a sex offender, he’s in for killing a kid, he’s in for this, that, the other”.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24"/>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 ‘strength’ here is significant, as is the whiff of moral coercion—Jeff’s feeling that he had “got to do it”.</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 ‘hard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 “understanding” 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 ‘dull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 ‘vulnerable’ 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 “Oh, they’re ill,” and this, that and the other, and “they haven’t got that long left”.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 ‘high’ 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 “Oh, when I come out, I might not be able to see the kids and I’ve got to have permission to see you.” She’s going, “Why? Why? Why? What’s…?” and then she said that again: “You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 “You’ve got all these licence conditions that you want me to do.” 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 “said sorry” 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(“conditions you want me to do”, above).</w:t>
      </w:r>
      <w:r>
        <w:t xml:space="preserve"> </w:t>
      </w:r>
      <w:r>
        <w:t xml:space="preserve"> </w:t>
      </w:r>
      <w:r>
        <w:t xml:space="preserve">He believed his duty was to accept censure and endure hard treatment, not to subjectivate himself to a more exacting (and ambiguous) set of demands he hardly understood. This, and ‘outsourcing’ 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 ‘enough’ pain—was similar to Grant’s. However, it was also less successful, in that it was less likely to be recognised as a coherent ethical presentation, and (in its passivity) was less compatible with the ‘tight’ 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 “[met] the criteria for mild intellectual disability”; another recorded that he had “antisocial personality problems, untreatable”, and was “bordering on psychopathic”.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25"/>
    <w:bookmarkStart w:id="26" w:name="X85a3f4dd66868cb7711bd1d35f8b4f78bb7e10b"/>
    <w:p>
      <w:pPr>
        <w:pStyle w:val="Heading1"/>
      </w:pPr>
      <w:r>
        <w:t xml:space="preserve">Conclusion: risk-driven punishment as an incapacitative ‘morality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 “morality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 “blame [the] characteristic reaction of the morality system”, and “remorse or self-reproach or guilt […] [its] characteristic first-person reaction”. Without experiencing these, individual persons “would not belong to the morality system or be a full moral agent in its terms”.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 ‘dangerous’. Their moral status, therefore, was ‘overdetermined’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 ‘changed’.</w:t>
      </w:r>
    </w:p>
    <w:p>
      <w:pPr>
        <w:pStyle w:val="BodyText"/>
      </w:pPr>
      <w:r>
        <w:t xml:space="preserve">On the other hand, their classification as ‘dangerous’ (to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26"/>
    <w:bookmarkStart w:id="71" w:name="references"/>
    <w:p>
      <w:pPr>
        <w:pStyle w:val="Heading1"/>
      </w:pPr>
      <w:r>
        <w:t xml:space="preserve">References</w:t>
      </w:r>
    </w:p>
    <w:bookmarkStart w:id="70" w:name="refs"/>
    <w:bookmarkStart w:id="28"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27">
        <w:r>
          <w:rPr>
            <w:rStyle w:val="Hyperlink"/>
          </w:rPr>
          <w:t xml:space="preserve">10/gmzwk6</w:t>
        </w:r>
      </w:hyperlink>
    </w:p>
    <w:bookmarkEnd w:id="28"/>
    <w:bookmarkStart w:id="29"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29"/>
    <w:bookmarkStart w:id="30"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1"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31"/>
    <w:bookmarkStart w:id="32"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32"/>
    <w:bookmarkStart w:id="33"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33"/>
    <w:bookmarkStart w:id="34"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34"/>
    <w:bookmarkStart w:id="35"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35"/>
    <w:bookmarkStart w:id="36"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36"/>
    <w:bookmarkStart w:id="37"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37"/>
    <w:bookmarkStart w:id="38"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38"/>
    <w:bookmarkStart w:id="39"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39"/>
    <w:bookmarkStart w:id="40"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40"/>
    <w:bookmarkStart w:id="41"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41"/>
    <w:bookmarkStart w:id="42"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42"/>
    <w:bookmarkStart w:id="43"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43"/>
    <w:bookmarkStart w:id="44"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44"/>
    <w:bookmarkStart w:id="45"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45"/>
    <w:bookmarkStart w:id="46"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46"/>
    <w:bookmarkStart w:id="47"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47"/>
    <w:bookmarkStart w:id="48"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48"/>
    <w:bookmarkStart w:id="49"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49"/>
    <w:bookmarkStart w:id="5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50"/>
    <w:bookmarkStart w:id="51"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51"/>
    <w:bookmarkStart w:id="52"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52"/>
    <w:bookmarkStart w:id="53"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53"/>
    <w:bookmarkStart w:id="54"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54"/>
    <w:bookmarkStart w:id="55"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55"/>
    <w:bookmarkStart w:id="56"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56"/>
    <w:bookmarkStart w:id="57"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57"/>
    <w:bookmarkStart w:id="58"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58"/>
    <w:bookmarkStart w:id="59"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59"/>
    <w:bookmarkStart w:id="60"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60"/>
    <w:bookmarkStart w:id="61"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61"/>
    <w:bookmarkStart w:id="62"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62"/>
    <w:bookmarkStart w:id="63"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63"/>
    <w:bookmarkStart w:id="64"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64"/>
    <w:bookmarkStart w:id="65"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65"/>
    <w:bookmarkStart w:id="66"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66"/>
    <w:bookmarkStart w:id="67"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67"/>
    <w:bookmarkStart w:id="68"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68"/>
    <w:bookmarkStart w:id="69"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69"/>
    <w:bookmarkEnd w:id="70"/>
    <w:bookmarkEnd w:id="7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‘B-cat’, ‘C-cat’ and ‘D-cat’: security classifications for male prisoners in England and Wales. Category-A prisoners are held in maximum-security conditions. Category-D prisoners are held in ‘open’ prisons, involving the lowest degree of restrictions. Categories B and C are intermediate steps.</w:t>
      </w:r>
    </w:p>
  </w:footnote>
  <w:footnote w:id="10">
    <w:p>
      <w:pPr>
        <w:pStyle w:val="FootnoteText"/>
      </w:pPr>
      <w:r>
        <w:rPr>
          <w:rStyle w:val="FootnoteReference"/>
        </w:rPr>
        <w:footnoteRef/>
      </w:r>
      <w:r>
        <w:t xml:space="preserve"> </w:t>
      </w:r>
      <w:r>
        <w:t xml:space="preserve">‘On licence’: subject to formal supervision requirements and control measures. These are imposed for life and non-compliance with them can prompt recall to custody.</w:t>
      </w:r>
    </w:p>
  </w:footnote>
  <w:footnote w:id="11">
    <w:p>
      <w:pPr>
        <w:pStyle w:val="FootnoteText"/>
      </w:pPr>
      <w:r>
        <w:rPr>
          <w:rStyle w:val="FootnoteReference"/>
        </w:rPr>
        <w:footnoteRef/>
      </w:r>
      <w:r>
        <w:t xml:space="preserve"> </w:t>
      </w:r>
      <w:r>
        <w:t xml:space="preserve">i.e. having become invisible or unnoticed, usually through lengthy occupation of a scene.</w:t>
      </w:r>
    </w:p>
  </w:footnote>
  <w:footnote w:id="12">
    <w:p>
      <w:pPr>
        <w:pStyle w:val="FootnoteText"/>
      </w:pPr>
      <w:r>
        <w:rPr>
          <w:rStyle w:val="FootnoteReference"/>
        </w:rPr>
        <w:footnoteRef/>
      </w:r>
      <w:r>
        <w:t xml:space="preserve"> </w:t>
      </w:r>
      <w:r>
        <w:t xml:space="preserve">i.e. the end of the ‘minimum term’ to be served in custody, marking the end of the ‘penalty phase’ of a life sentence.</w:t>
      </w:r>
    </w:p>
  </w:footnote>
  <w:footnote w:id="14">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16">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17">
    <w:p>
      <w:pPr>
        <w:pStyle w:val="FootnoteText"/>
      </w:pPr>
      <w:r>
        <w:rPr>
          <w:rStyle w:val="FootnoteReference"/>
        </w:rPr>
        <w:footnoteRef/>
      </w:r>
      <w:r>
        <w:t xml:space="preserve"> </w:t>
      </w:r>
      <w:r>
        <w:t xml:space="preserve">i.e. got on very well together, formed a very good relationship.</w:t>
      </w:r>
    </w:p>
  </w:footnote>
  <w:footnote w:id="18">
    <w:p>
      <w:pPr>
        <w:pStyle w:val="FootnoteText"/>
      </w:pPr>
      <w:r>
        <w:rPr>
          <w:rStyle w:val="FootnoteReference"/>
        </w:rPr>
        <w:footnoteRef/>
      </w:r>
      <w:r>
        <w:t xml:space="preserve"> </w:t>
      </w:r>
      <w:r>
        <w:t xml:space="preserve">‘Part and parcel’ - “that’s an integral part of the situation”, “that’s just the way things are”</w:t>
      </w:r>
    </w:p>
  </w:footnote>
  <w:footnote w:id="19">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20">
    <w:p>
      <w:pPr>
        <w:pStyle w:val="FootnoteText"/>
      </w:pPr>
      <w:r>
        <w:rPr>
          <w:rStyle w:val="FootnoteReference"/>
        </w:rPr>
        <w:footnoteRef/>
      </w:r>
      <w:r>
        <w:t xml:space="preserve"> </w:t>
      </w:r>
      <w:r>
        <w:t xml:space="preserve">‘Badgering’: persistently and repeatedly asking the same question.</w:t>
      </w:r>
    </w:p>
  </w:footnote>
  <w:footnote w:id="21">
    <w:p>
      <w:pPr>
        <w:pStyle w:val="FootnoteText"/>
      </w:pPr>
      <w:r>
        <w:rPr>
          <w:rStyle w:val="FootnoteReference"/>
        </w:rPr>
        <w:footnoteRef/>
      </w:r>
      <w:r>
        <w:t xml:space="preserve"> </w:t>
      </w:r>
      <w:r>
        <w:t xml:space="preserve">Rhyming slang: “Scooby[-Doo]” = “clue”. Hence, “I have absolutely no idea”.</w:t>
      </w:r>
    </w:p>
  </w:footnote>
  <w:footnote w:id="22">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24">
    <w:p>
      <w:pPr>
        <w:pStyle w:val="FootnoteText"/>
      </w:pPr>
      <w:r>
        <w:rPr>
          <w:rStyle w:val="FootnoteReference"/>
        </w:rPr>
        <w:footnoteRef/>
      </w:r>
      <w:r>
        <w:t xml:space="preserve"> </w:t>
      </w:r>
      <w:r>
        <w:t xml:space="preserve">“Does your head in” -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2026-04-10T21:13:16Z</dcterms:created>
  <dcterms:modified xsi:type="dcterms:W3CDTF">2026-04-10T21:13:16Z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Risk governance and moral thwarting among life-sentenced men in English prisons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