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10" w:name="availability"/>
    <w:p>
      <w:pPr>
        <w:pStyle w:val="Heading1"/>
      </w:pPr>
      <w:r>
        <w:t xml:space="preserve">Availability</w:t>
      </w:r>
    </w:p>
    <w:p>
      <w:pPr>
        <w:pStyle w:val="FirstParagraph"/>
      </w:pPr>
      <w:r>
        <w:t xml:space="preserve">Accepted manuscript available via</w:t>
      </w:r>
      <w:r>
        <w:t xml:space="preserve"> </w:t>
      </w:r>
      <w:hyperlink r:id="rId9">
        <w:r>
          <w:rPr>
            <w:rStyle w:val="Hyperlink"/>
          </w:rPr>
          <w:t xml:space="preserve">https://eprints.bbk.ac.uk/id/eprint/53597</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2026-04-10T21:13:28Z</dcterms:created>
  <dcterms:modified xsi:type="dcterms:W3CDTF">2026-04-10T21:13:28Z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Comparative perspectives from Brazil, the UK, and the US</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https://eprints.bbk.ac.uk/id/eprint/53597</vt:lpwstr>
  </property>
</Properties>
</file>