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3"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(e.g.</w:t>
      </w:r>
      <w:r>
        <w:t xml:space="preserve"> </w:t>
      </w:r>
      <w:hyperlink w:anchor="ref-hawkinsAssessingEvilDecision1983">
        <w:r>
          <w:rPr>
            <w:rStyle w:val="Hyperlink"/>
          </w:rPr>
          <w:t xml:space="preserve">Hawkins 1983</w:t>
        </w:r>
      </w:hyperlink>
      <w:r>
        <w:t xml:space="preserve">;</w:t>
      </w:r>
      <w:r>
        <w:t xml:space="preserve"> </w:t>
      </w:r>
      <w:hyperlink w:anchor="ref-daganParoleBoxingMatch2024">
        <w:r>
          <w:rPr>
            <w:rStyle w:val="Hyperlink"/>
          </w:rPr>
          <w:t xml:space="preserve">Dagan 2024</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(e.g.</w:t>
      </w:r>
      <w:r>
        <w:t xml:space="preserve"> </w:t>
      </w:r>
      <w:hyperlink w:anchor="ref-hoodParoleSystemWork2000">
        <w:r>
          <w:rPr>
            <w:rStyle w:val="Hyperlink"/>
          </w:rPr>
          <w:t xml:space="preserve">Hood &amp; Shute 2000</w:t>
        </w:r>
      </w:hyperlink>
      <w:r>
        <w:t xml:space="preserve">;</w:t>
      </w:r>
      <w:r>
        <w:t xml:space="preserve"> </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13"/>
    <w:bookmarkStart w:id="14"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 ‘dead time’ or ‘stagnation’.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 “we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 “[I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 “I’ve had enough of this bullshit and dickering around and I’m going to get to the stage where [I say] ‘That’s YOUR parole board. I’m not even engaging. Just leave me alone.’ […]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 ‘nothing time’ 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14"/>
    <w:bookmarkStart w:id="16"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 ‘court-like’ 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 ‘deserves’ 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15"/>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 but his proposed licence conditions included a disclosure requirement if he did, and he accepted this, saying,”</w:t>
      </w:r>
      <w:r>
        <w:t xml:space="preserve">of course there’s a bloody increased risk”.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16"/>
    <w:bookmarkStart w:id="17"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 “90% of us in this jail tell [parole boards] what they want to know.” But this represented a spectrum of different approaches. At one end stood Alf’s defensive minimalism: “I’m just going to say, ‘yes, sir. No, sir. Three bags full, sir.’” Quite similar was Nixon’s calculated compliance—engaging “because I had to” 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 “No-one deserves that, I wouldn’t want that for my daughters.” 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 “It’s the hope that kills you”.</w:t>
      </w:r>
    </w:p>
    <w:bookmarkEnd w:id="17"/>
    <w:bookmarkStart w:id="18"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18"/>
    <w:bookmarkStart w:id="45" w:name="references"/>
    <w:p>
      <w:pPr>
        <w:pStyle w:val="Heading1"/>
      </w:pPr>
      <w:r>
        <w:t xml:space="preserve">References</w:t>
      </w:r>
    </w:p>
    <w:bookmarkStart w:id="44" w:name="refs"/>
    <w:bookmarkStart w:id="19"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19"/>
    <w:bookmarkStart w:id="21" w:name="ref-daganParoleBoxingMatch2024"/>
    <w:p>
      <w:pPr>
        <w:pStyle w:val="Bibliography"/>
      </w:pPr>
      <w:r>
        <w:t xml:space="preserve">Dagan, N. (2024).</w:t>
      </w:r>
      <w:r>
        <w:t xml:space="preserve"> </w:t>
      </w:r>
      <w:hyperlink r:id="rId20">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21"/>
    <w:bookmarkStart w:id="23" w:name="ref-dykeHowParoleBoard2020"/>
    <w:p>
      <w:pPr>
        <w:pStyle w:val="Bibliography"/>
      </w:pPr>
      <w:r>
        <w:t xml:space="preserve">Dyke, C., Schucan Bird, K., &amp; Rivas, C. (2020).</w:t>
      </w:r>
      <w:r>
        <w:t xml:space="preserve"> </w:t>
      </w:r>
      <w:hyperlink r:id="rId22">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23"/>
    <w:bookmarkStart w:id="24"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24"/>
    <w:bookmarkStart w:id="26" w:name="ref-hawkinsAssessingEvilDecision1983"/>
    <w:p>
      <w:pPr>
        <w:pStyle w:val="Bibliography"/>
      </w:pPr>
      <w:r>
        <w:t xml:space="preserve">Hawkins, K. (1983).</w:t>
      </w:r>
      <w:r>
        <w:t xml:space="preserve"> </w:t>
      </w:r>
      <w:hyperlink r:id="rId25">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26"/>
    <w:bookmarkStart w:id="27"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27"/>
    <w:bookmarkStart w:id="29" w:name="Xc23a9a60f0997758c5517e43a0e689f4b9da913"/>
    <w:p>
      <w:pPr>
        <w:pStyle w:val="Bibliography"/>
      </w:pPr>
      <w:r>
        <w:t xml:space="preserve">McNeill, F. (2019).</w:t>
      </w:r>
      <w:r>
        <w:t xml:space="preserve"> </w:t>
      </w:r>
      <w:hyperlink r:id="rId28">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29"/>
    <w:bookmarkStart w:id="30"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30"/>
    <w:bookmarkStart w:id="32" w:name="ref-padfieldParoleBoardOral2017"/>
    <w:p>
      <w:pPr>
        <w:pStyle w:val="Bibliography"/>
      </w:pPr>
      <w:r>
        <w:t xml:space="preserve">Padfield, N. (2017).</w:t>
      </w:r>
      <w:r>
        <w:t xml:space="preserve"> </w:t>
      </w:r>
      <w:hyperlink r:id="rId31">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32"/>
    <w:bookmarkStart w:id="33"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33"/>
    <w:bookmarkStart w:id="35" w:name="ref-peplowCommunicationRepairParole2024"/>
    <w:p>
      <w:pPr>
        <w:pStyle w:val="Bibliography"/>
      </w:pPr>
      <w:r>
        <w:t xml:space="preserve">Peplow, D., &amp; Phillips, J. (2024).</w:t>
      </w:r>
      <w:r>
        <w:t xml:space="preserve"> </w:t>
      </w:r>
      <w:hyperlink r:id="rId34">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35"/>
    <w:bookmarkStart w:id="36"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36"/>
    <w:bookmarkStart w:id="37"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37"/>
    <w:bookmarkStart w:id="39" w:name="ref-shammasPerilsParoleHearings2019"/>
    <w:p>
      <w:pPr>
        <w:pStyle w:val="Bibliography"/>
      </w:pPr>
      <w:r>
        <w:t xml:space="preserve">Shammas, V. L. (2019).</w:t>
      </w:r>
      <w:r>
        <w:t xml:space="preserve"> </w:t>
      </w:r>
      <w:hyperlink r:id="rId38">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39"/>
    <w:bookmarkStart w:id="41" w:name="ref-sparksCrimeJusticeResearch2020"/>
    <w:p>
      <w:pPr>
        <w:pStyle w:val="Bibliography"/>
      </w:pPr>
      <w:r>
        <w:t xml:space="preserve">Sparks, R. (2020).</w:t>
      </w:r>
      <w:r>
        <w:t xml:space="preserve"> </w:t>
      </w:r>
      <w:hyperlink r:id="rId40">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41"/>
    <w:bookmarkStart w:id="43"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42">
        <w:r>
          <w:rPr>
            <w:rStyle w:val="Hyperlink"/>
          </w:rPr>
          <w:t xml:space="preserve">10.1007/978-3-030-01060-7</w:t>
        </w:r>
      </w:hyperlink>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2026-04-10T21:37:14Z</dcterms:created>
  <dcterms:modified xsi:type="dcterms:W3CDTF">2026-04-10T21:37:14Z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Life-sentenced prisoners’ experiences of parole decision-making</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https://eprints.soton.ac.uk/id/eprint/504230</vt:lpwstr>
  </property>
</Properties>
</file>