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 ‘safeguarding’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10" w:name="availablity"/>
    <w:p>
      <w:pPr>
        <w:pStyle w:val="Heading1"/>
      </w:pPr>
      <w:r>
        <w:t xml:space="preserve">Availablity</w:t>
      </w:r>
    </w:p>
    <w:p>
      <w:pPr>
        <w:pStyle w:val="FirstParagraph"/>
      </w:pPr>
      <w:r>
        <w:t xml:space="preserve">Paper text and slides available via</w:t>
      </w:r>
      <w:r>
        <w:t xml:space="preserve"> </w:t>
      </w:r>
      <w:hyperlink r:id="rId9">
        <w:r>
          <w:rPr>
            <w:rStyle w:val="Hyperlink"/>
          </w:rPr>
          <w:t xml:space="preserve">https://www.repository.cam.ac.uk/handle/1810/291976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2026-04-10T21:37:22Z</dcterms:created>
  <dcterms:modified xsi:type="dcterms:W3CDTF">2026-04-10T21:37:22Z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Children in the secure estate, 1960-2016</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https://www.repository.cam.ac.uk/handle/1810/291976</vt:lpwstr>
  </property>
</Properties>
</file>