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12">
              <w:r>
                <w:rPr>
                  <w:rStyle w:val="Hyperlink"/>
                </w:rPr>
                <w:t xml:space="preserve">the Review’s webpage</w:t>
              </w:r>
            </w:hyperlink>
            <w:r>
              <w:t xml:space="preserve">.</w:t>
            </w:r>
          </w:p>
          <w:p/>
        </w:tc>
      </w:tr>
    </w:tbl>
    <w:p>
      <w:r>
        <w:br w:type="page"/>
      </w:r>
    </w:p>
    <w:bookmarkStart w:id="32"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13">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14"/>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15"/>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16"/>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17"/>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C:\Users\bmhja\scoop\apps\quarto\current\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20">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21">
              <w:r>
                <w:rPr>
                  <w:rStyle w:val="Hyperlink"/>
                </w:rPr>
                <w:t xml:space="preserve">Research Fellow</w:t>
              </w:r>
            </w:hyperlink>
            <w:r>
              <w:t xml:space="preserve"> </w:t>
            </w:r>
            <w:r>
              <w:t xml:space="preserve">in December 2024. I hold</w:t>
            </w:r>
            <w:r>
              <w:t xml:space="preserve"> </w:t>
            </w:r>
            <w:hyperlink r:id="rId22">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23">
              <w:r>
                <w:rPr>
                  <w:rStyle w:val="Hyperlink"/>
                </w:rPr>
                <w:t xml:space="preserve">Building Futures project</w:t>
              </w:r>
            </w:hyperlink>
            <w:r>
              <w:t xml:space="preserve">, co-authoring</w:t>
            </w:r>
            <w:r>
              <w:t xml:space="preserve"> </w:t>
            </w:r>
            <w:hyperlink r:id="rId24">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25">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26">
              <w:r>
                <w:rPr>
                  <w:rStyle w:val="Hyperlink"/>
                  <w:i/>
                  <w:iCs/>
                </w:rPr>
                <w:t xml:space="preserve">British Journal of Criminology</w:t>
              </w:r>
            </w:hyperlink>
            <w:r>
              <w:t xml:space="preserve"> </w:t>
            </w:r>
            <w:r>
              <w:t xml:space="preserve">and the</w:t>
            </w:r>
            <w:r>
              <w:t xml:space="preserve"> </w:t>
            </w:r>
            <w:hyperlink r:id="rId27">
              <w:r>
                <w:rPr>
                  <w:rStyle w:val="Hyperlink"/>
                  <w:i/>
                  <w:iCs/>
                </w:rPr>
                <w:t xml:space="preserve">Prison Service Journal</w:t>
              </w:r>
            </w:hyperlink>
            <w:r>
              <w:t xml:space="preserve">. I also gave the</w:t>
            </w:r>
            <w:r>
              <w:t xml:space="preserve"> </w:t>
            </w:r>
            <w:hyperlink r:id="rId28">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29">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30">
              <w:r>
                <w:rPr>
                  <w:rStyle w:val="Hyperlink"/>
                </w:rPr>
                <w:t xml:space="preserve">Clinks</w:t>
              </w:r>
            </w:hyperlink>
            <w:r>
              <w:t xml:space="preserve"> </w:t>
            </w:r>
            <w:r>
              <w:t xml:space="preserve">and</w:t>
            </w:r>
            <w:r>
              <w:t xml:space="preserve"> </w:t>
            </w:r>
            <w:hyperlink r:id="rId31">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32"/>
    <w:bookmarkStart w:id="100" w:name="response"/>
    <w:p>
      <w:pPr>
        <w:pStyle w:val="Heading1"/>
      </w:pPr>
      <w:r>
        <w:t xml:space="preserve">Response</w:t>
      </w:r>
    </w:p>
    <w:bookmarkStart w:id="46"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mhja\scoop\apps\quarto\current\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39"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36"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36"/>
    <w:bookmarkStart w:id="37"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37"/>
    <w:bookmarkStart w:id="38"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38"/>
    <w:bookmarkEnd w:id="39"/>
    <w:bookmarkStart w:id="45" w:name="X2a464fbfcd1765efc21bb5c8b960c98db2f3a64"/>
    <w:p>
      <w:pPr>
        <w:pStyle w:val="Heading3"/>
      </w:pPr>
      <w:r>
        <w:t xml:space="preserve">Detailed response: the long-term drivers of capacity pressures</w:t>
      </w:r>
    </w:p>
    <w:bookmarkStart w:id="40"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40"/>
    <w:bookmarkStart w:id="41"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41"/>
    <w:bookmarkStart w:id="42"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42"/>
    <w:bookmarkStart w:id="43"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43"/>
    <w:bookmarkStart w:id="44"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44"/>
    <w:bookmarkEnd w:id="45"/>
    <w:bookmarkEnd w:id="46"/>
    <w:bookmarkStart w:id="65"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mhja\scoop\apps\quarto\current\share\formats\docx\tip.png" id="4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52"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49"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49"/>
    <w:bookmarkStart w:id="50"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50"/>
    <w:bookmarkStart w:id="51"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51"/>
    <w:bookmarkEnd w:id="52"/>
    <w:bookmarkStart w:id="64"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 “consider […] how external campaigns influence policy”.</w:t>
      </w:r>
    </w:p>
    <w:p>
      <w:pPr>
        <w:pStyle w:val="BodyText"/>
      </w:pPr>
      <w:r>
        <w:t xml:space="preserve">These references imply, subtly, that “the public” 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53"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53"/>
    <w:bookmarkStart w:id="54"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54"/>
    <w:bookmarkStart w:id="57"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55"/>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 “valued beginning”,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56"/>
      </w:r>
      <w:r>
        <w:t xml:space="preserve"> </w:t>
      </w:r>
      <w:r>
        <w:t xml:space="preserve">There is no obvious reason to suppose that the UK public would depart from this pattern.</w:t>
      </w:r>
    </w:p>
    <w:bookmarkEnd w:id="57"/>
    <w:bookmarkStart w:id="60"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58"/>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59"/>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60"/>
    <w:bookmarkStart w:id="61"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61"/>
    <w:bookmarkStart w:id="62"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62"/>
    <w:bookmarkStart w:id="63"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63"/>
    <w:bookmarkEnd w:id="64"/>
    <w:bookmarkEnd w:id="65"/>
    <w:bookmarkStart w:id="82"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a\scoop\apps\quarto\current\share\formats\docx\tip.png" id="6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71"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68"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 “false positives” and “false negatives” 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68"/>
    <w:bookmarkStart w:id="69"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69"/>
    <w:bookmarkStart w:id="70"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70"/>
    <w:bookmarkEnd w:id="71"/>
    <w:bookmarkStart w:id="81"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72"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 “distinguishes between the treatment of</w:t>
      </w:r>
      <w:r>
        <w:t xml:space="preserve"> </w:t>
      </w:r>
      <w:r>
        <w:t xml:space="preserve">“dangerous”</w:t>
      </w:r>
      <w:r>
        <w:t xml:space="preserve"> </w:t>
      </w:r>
      <w:r>
        <w:t xml:space="preserve">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 “an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72"/>
    <w:bookmarkStart w:id="73"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73"/>
    <w:bookmarkStart w:id="74"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 ‘evidence-based’), which in turn results in the rationing and demand management of these interventions. This situation has become the context for many of the difficulties with sentence progression described in the following section.</w:t>
      </w:r>
    </w:p>
    <w:bookmarkEnd w:id="74"/>
    <w:bookmarkStart w:id="75"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75"/>
    <w:bookmarkStart w:id="77"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76"/>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77"/>
    <w:bookmarkStart w:id="78"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78"/>
    <w:bookmarkStart w:id="79"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79"/>
    <w:bookmarkStart w:id="80"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80"/>
    <w:bookmarkEnd w:id="81"/>
    <w:bookmarkEnd w:id="82"/>
    <w:bookmarkStart w:id="99"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bmhja\scoop\apps\quarto\current\share\formats\docx\tip.png" id="8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88"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85"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85"/>
    <w:bookmarkStart w:id="86"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86"/>
    <w:bookmarkStart w:id="87"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87"/>
    <w:bookmarkEnd w:id="88"/>
    <w:bookmarkStart w:id="98" w:name="X4552db4e114347c7821fb3bd6f588abc7da8856"/>
    <w:p>
      <w:pPr>
        <w:pStyle w:val="Heading3"/>
      </w:pPr>
      <w:r>
        <w:t xml:space="preserve">Detailed response: different approaches to sentence-based incentives</w:t>
      </w:r>
    </w:p>
    <w:bookmarkStart w:id="90"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89"/>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90"/>
    <w:bookmarkStart w:id="91"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91"/>
    <w:bookmarkStart w:id="94"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(“falta grave”) in prison, then a judge may revoke up to one-third of the time already remitted.</w:t>
      </w:r>
      <w:r>
        <w:rPr>
          <w:rStyle w:val="FootnoteReference"/>
        </w:rPr>
        <w:footnoteReference w:id="92"/>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93"/>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94"/>
    <w:bookmarkStart w:id="96"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95"/>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96"/>
    <w:bookmarkStart w:id="97"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97"/>
    <w:bookmarkEnd w:id="98"/>
    <w:bookmarkEnd w:id="99"/>
    <w:bookmarkEnd w:id="100"/>
    <w:bookmarkStart w:id="118" w:name="references"/>
    <w:p>
      <w:pPr>
        <w:pStyle w:val="Heading1"/>
      </w:pPr>
      <w:r>
        <w:t xml:space="preserve">References</w:t>
      </w:r>
    </w:p>
    <w:bookmarkStart w:id="117" w:name="refs"/>
    <w:bookmarkStart w:id="102"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01">
        <w:r>
          <w:rPr>
            <w:rStyle w:val="Hyperlink"/>
          </w:rPr>
          <w:t xml:space="preserve">10.1007/978-1-4614-5690-2_492</w:t>
        </w:r>
      </w:hyperlink>
      <w:r>
        <w:t xml:space="preserve">.</w:t>
      </w:r>
    </w:p>
    <w:bookmarkEnd w:id="102"/>
    <w:bookmarkStart w:id="103"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03"/>
    <w:bookmarkStart w:id="104"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04"/>
    <w:bookmarkStart w:id="105"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05"/>
    <w:bookmarkStart w:id="107"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06">
        <w:r>
          <w:rPr>
            <w:rStyle w:val="Hyperlink"/>
          </w:rPr>
          <w:t xml:space="preserve">10.17863/CAM.89107</w:t>
        </w:r>
      </w:hyperlink>
      <w:r>
        <w:t xml:space="preserve">.</w:t>
      </w:r>
    </w:p>
    <w:bookmarkEnd w:id="107"/>
    <w:bookmarkStart w:id="108"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08"/>
    <w:bookmarkStart w:id="109"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09"/>
    <w:bookmarkStart w:id="110"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10"/>
    <w:bookmarkStart w:id="112"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11">
        <w:r>
          <w:rPr>
            <w:rStyle w:val="Hyperlink"/>
          </w:rPr>
          <w:t xml:space="preserve">10.1093/bjc/azae088</w:t>
        </w:r>
      </w:hyperlink>
      <w:r>
        <w:t xml:space="preserve">.</w:t>
      </w:r>
    </w:p>
    <w:bookmarkEnd w:id="112"/>
    <w:bookmarkStart w:id="114"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13">
        <w:r>
          <w:rPr>
            <w:rStyle w:val="Hyperlink"/>
          </w:rPr>
          <w:t xml:space="preserve">10.1177/2066220319895802</w:t>
        </w:r>
      </w:hyperlink>
      <w:r>
        <w:t xml:space="preserve">.</w:t>
      </w:r>
    </w:p>
    <w:bookmarkEnd w:id="114"/>
    <w:bookmarkStart w:id="115"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15"/>
    <w:bookmarkStart w:id="116"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16"/>
    <w:bookmarkEnd w:id="117"/>
    <w:bookmarkEnd w:id="11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Developed in more detail under Theme 2.</w:t>
      </w:r>
    </w:p>
  </w:footnote>
  <w:footnote w:id="15">
    <w:p>
      <w:pPr>
        <w:pStyle w:val="FootnoteText"/>
      </w:pPr>
      <w:r>
        <w:rPr>
          <w:rStyle w:val="FootnoteReference"/>
        </w:rPr>
        <w:footnoteRef/>
      </w:r>
      <w:r>
        <w:t xml:space="preserve"> </w:t>
      </w:r>
      <w:r>
        <w:t xml:space="preserve">Developed in more detail under Theme 6, with additional context under Theme 5.</w:t>
      </w:r>
    </w:p>
  </w:footnote>
  <w:footnote w:id="16">
    <w:p>
      <w:pPr>
        <w:pStyle w:val="FootnoteText"/>
      </w:pPr>
      <w:r>
        <w:rPr>
          <w:rStyle w:val="FootnoteReference"/>
        </w:rPr>
        <w:footnoteRef/>
      </w:r>
      <w:r>
        <w:t xml:space="preserve"> </w:t>
      </w:r>
      <w:r>
        <w:t xml:space="preserve">Developed primarily under Theme 5, with some implementation details under Theme 6.</w:t>
      </w:r>
    </w:p>
  </w:footnote>
  <w:footnote w:id="17">
    <w:p>
      <w:pPr>
        <w:pStyle w:val="FootnoteText"/>
      </w:pPr>
      <w:r>
        <w:rPr>
          <w:rStyle w:val="FootnoteReference"/>
        </w:rPr>
        <w:footnoteRef/>
      </w:r>
      <w:r>
        <w:t xml:space="preserve"> </w:t>
      </w:r>
      <w:r>
        <w:t xml:space="preserve">Addressed across multiple Themes, particularly 2 and 5.</w:t>
      </w:r>
    </w:p>
  </w:footnote>
  <w:footnote w:id="55">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56">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58">
    <w:p>
      <w:pPr>
        <w:pStyle w:val="FootnoteText"/>
      </w:pPr>
      <w:r>
        <w:rPr>
          <w:rStyle w:val="FootnoteReference"/>
        </w:rPr>
        <w:footnoteRef/>
      </w:r>
      <w:r>
        <w:t xml:space="preserve"> </w:t>
      </w:r>
      <w:r>
        <w:t xml:space="preserve">Except the 25-year starting point for murders involving a knife.</w:t>
      </w:r>
    </w:p>
  </w:footnote>
  <w:footnote w:id="59">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76">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89">
    <w:p>
      <w:pPr>
        <w:pStyle w:val="FootnoteText"/>
      </w:pPr>
      <w:r>
        <w:rPr>
          <w:rStyle w:val="FootnoteReference"/>
        </w:rPr>
        <w:footnoteRef/>
      </w:r>
      <w:r>
        <w:t xml:space="preserve"> </w:t>
      </w:r>
      <w:r>
        <w:t xml:space="preserve">Arizona, California, and Texas.</w:t>
      </w:r>
    </w:p>
  </w:footnote>
  <w:footnote w:id="92">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(‘juiz da vara de execução penal’). Brazil’s Supreme Court has upheld the arrangement whereby one-third of remission can be rescinded as constitutional.</w:t>
      </w:r>
    </w:p>
  </w:footnote>
  <w:footnote w:id="93">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95">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2026-04-10T21:37:30Z</dcterms:created>
  <dcterms:modified xsi:type="dcterms:W3CDTF">2026-04-10T21:37:30Z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engines">
    <vt:lpwstr/>
  </property>
  <property fmtid="{D5CDD505-2E9C-101B-9397-08002B2CF9AE}" pid="21" name="funding">
    <vt:lpwstr/>
  </property>
  <property fmtid="{D5CDD505-2E9C-101B-9397-08002B2CF9AE}" pid="22" name="google-scholar">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ies>
</file>