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12">
              <w:r>
                <w:rPr>
                  <w:rStyle w:val="Hyperlink"/>
                </w:rPr>
                <w:t xml:space="preserve">viewed on YouTube</w:t>
              </w:r>
            </w:hyperlink>
            <w:r>
              <w:t xml:space="preserve">.</w:t>
            </w:r>
          </w:p>
          <w:p>
            <w:pPr>
              <w:pStyle w:val="BodyText"/>
            </w:pPr>
            <w:pPr>
              <w:spacing w:after="16"/>
            </w:pPr>
            <w:hyperlink r:id="rId12">
              <w:r>
                <w:rPr>
                  <w:rStyle w:val="Hyperlink"/>
                </w:rPr>
                <w:t xml:space="preserve">https://www.youtube.com/watch?v=vwqolkC0nnc</w:t>
              </w:r>
            </w:hyperlink>
          </w:p>
          <w:p/>
        </w:tc>
      </w:tr>
    </w:tbl>
    <w:p>
      <w:r>
        <w:br w:type="page"/>
      </w:r>
    </w:p>
    <w:bookmarkStart w:id="13"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 “the gift of proximity”.</w:t>
      </w:r>
    </w:p>
    <w:p>
      <w:pPr>
        <w:pStyle w:val="BodyText"/>
      </w:pPr>
      <w:r>
        <w:t xml:space="preserve">Miller urges academic researchers to engage closely with individuals in the penal system. He warns against viewing people through the lens of abstractions like “rehabilitation”, or through policy metrics such as “reoffending”.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13"/>
    <w:bookmarkStart w:id="17"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 “No more victims”,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14"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 ‘diamonds in the rough’—people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14"/>
    <w:bookmarkStart w:id="15"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 ‘Foreign criminals’ 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15"/>
    <w:bookmarkStart w:id="16"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 ‘got what they deserved’: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16"/>
    <w:bookmarkEnd w:id="17"/>
    <w:bookmarkStart w:id="19"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18"/>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 ‘We’, who are good, respond to actions by ‘them’,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19"/>
    <w:bookmarkStart w:id="22"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20"/>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 “the angel of prisons”,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 ‘natural’,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22"/>
    <w:bookmarkStart w:id="24"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23"/>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 “dangerous” 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 ‘serious cases’ without taking seriously—and by this I mean, not dismissing or tidying away—the difficult emotions which underlie the urge to punish.</w:t>
      </w:r>
    </w:p>
    <w:bookmarkEnd w:id="24"/>
    <w:bookmarkStart w:id="37" w:name="punishment"/>
    <w:p>
      <w:pPr>
        <w:pStyle w:val="Heading1"/>
      </w:pPr>
      <w:r>
        <w:t xml:space="preserve">Punishment</w:t>
      </w:r>
    </w:p>
    <w:p>
      <w:pPr>
        <w:pStyle w:val="FirstParagraph"/>
      </w:pPr>
      <w:r>
        <w:t xml:space="preserve">‘Punishment’.</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 “insubstantial excuses” 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 “more centred on feeling sorry for himself”. She relays what she thought to herself, after Steel claimed that he cried about killing Ruth every night: “you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 ‘move on’.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25"/>
      </w:r>
      <w:r>
        <w:t xml:space="preserve"> </w:t>
      </w:r>
      <w:r>
        <w:t xml:space="preserve">by John Lampen, very helpful. Writing about punishment, Lampen suggests that Quakers “seem to have a horror of revenge as a motive”, but says that even when revenge achieves nothing constructive, this at least is better than to make no response at all, which leaves all the hurt with the person who has been wronged. To Lampen, it is “a kind of insult” 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26"/>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 “poisoned root, and a honeyed tip”.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 “forging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29"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27"/>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 ‘revenge’ 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 ‘vindicate’), among the meanings of which is to rescue, or liberate, or release from a debt, or emancipate, as in a slave.</w:t>
      </w:r>
      <w:r>
        <w:rPr>
          <w:rStyle w:val="FootnoteReference"/>
        </w:rPr>
        <w:footnoteReference w:id="28"/>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29"/>
    <w:bookmarkStart w:id="35"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30"/>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32"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 ‘low’,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 ‘low’ risk assessments, and the scarcity of places on rehabilitative courses meant that he hadn’t been offered a place.</w:t>
      </w:r>
      <w:r>
        <w:rPr>
          <w:rStyle w:val="FootnoteReference"/>
        </w:rPr>
        <w:footnoteReference w:id="31"/>
      </w:r>
      <w:r>
        <w:t xml:space="preserve"> </w:t>
      </w:r>
      <w:r>
        <w:t xml:space="preserve">Put simply, he held himself accountable only in limited ways, and prison hadn’t pressured him to go deeper. Alf’s low risk seemed to be all that mattered.</w:t>
      </w:r>
    </w:p>
    <w:bookmarkEnd w:id="32"/>
    <w:bookmarkStart w:id="33"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 “that life”.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 “that life” 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 “eyes on the prize”.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33"/>
    <w:bookmarkStart w:id="34"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 ‘gone there’ 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 “A lot of people don’t like [it]. […] They resent your inner strength, for some reason.”</w:t>
      </w:r>
    </w:p>
    <w:bookmarkEnd w:id="34"/>
    <w:bookmarkEnd w:id="35"/>
    <w:bookmarkStart w:id="36"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 “too punitive” or “not rehabilitative enough”,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 ‘belonging’.</w:t>
      </w:r>
    </w:p>
    <w:bookmarkEnd w:id="36"/>
    <w:bookmarkEnd w:id="37"/>
    <w:bookmarkStart w:id="41"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39"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38"/>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 ‘the gift of proximity’:</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 ‘serious cases’ 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39"/>
    <w:bookmarkStart w:id="40"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 “Uh-oh”, I thought. “Here’s another one”. But John soon mentioned that he had been released from prison less than a year beforehand, having spent well over forty years there. I can’t adequately explain to you how difficult a transition this is—you’ll have to imagine. But the word John used for his church was “godsend”.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40"/>
    <w:bookmarkEnd w:id="41"/>
    <w:bookmarkStart w:id="43"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42"/>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 ‘live adventurously’,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 ‘answer that of God in everyone’.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 “the mighty day of the Lord is coming upon all wickedness, ungodliness and unrighteousness”, but added that “the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43"/>
    <w:bookmarkStart w:id="74" w:name="references"/>
    <w:p>
      <w:pPr>
        <w:pStyle w:val="Heading1"/>
      </w:pPr>
      <w:r>
        <w:t xml:space="preserve">References</w:t>
      </w:r>
    </w:p>
    <w:bookmarkStart w:id="73" w:name="refs"/>
    <w:bookmarkStart w:id="44"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44"/>
    <w:bookmarkStart w:id="46"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45">
        <w:r>
          <w:rPr>
            <w:rStyle w:val="Hyperlink"/>
          </w:rPr>
          <w:t xml:space="preserve">https://postmodernquaker.wordpress.com/2011/07/20/answering-that-of-god/</w:t>
        </w:r>
      </w:hyperlink>
    </w:p>
    <w:bookmarkEnd w:id="46"/>
    <w:bookmarkStart w:id="48"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47">
        <w:r>
          <w:rPr>
            <w:rStyle w:val="Hyperlink"/>
          </w:rPr>
          <w:t xml:space="preserve">https://postmodernquaker.wordpress.com/2023/05/05/this-i-knew-experimentally-an-analysis-of-george-foxs-convincement-narrative/</w:t>
        </w:r>
      </w:hyperlink>
    </w:p>
    <w:bookmarkEnd w:id="48"/>
    <w:bookmarkStart w:id="49" w:name="ref-atwoodPayback2014"/>
    <w:p>
      <w:pPr>
        <w:pStyle w:val="Bibliography"/>
      </w:pPr>
      <w:r>
        <w:t xml:space="preserve">Atwood, M. (2014).</w:t>
      </w:r>
      <w:r>
        <w:t xml:space="preserve"> </w:t>
      </w:r>
      <w:r>
        <w:rPr>
          <w:i/>
          <w:iCs/>
        </w:rPr>
        <w:t xml:space="preserve">Payback</w:t>
      </w:r>
      <w:r>
        <w:t xml:space="preserve">, London: Bloomsbury Paperbacks.</w:t>
      </w:r>
    </w:p>
    <w:bookmarkEnd w:id="49"/>
    <w:bookmarkStart w:id="51"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50">
        <w:r>
          <w:rPr>
            <w:rStyle w:val="Hyperlink"/>
          </w:rPr>
          <w:t xml:space="preserve">https://accesstoinsight.org/tipitaka/sn/sn07/sn07.001.wlsh.html</w:t>
        </w:r>
      </w:hyperlink>
    </w:p>
    <w:bookmarkEnd w:id="51"/>
    <w:bookmarkStart w:id="52"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52"/>
    <w:bookmarkStart w:id="54"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53">
        <w:r>
          <w:rPr>
            <w:rStyle w:val="Hyperlink"/>
          </w:rPr>
          <w:t xml:space="preserve">https://www.prisonstudies.org/highest-to-lowest/prison\_population\_rate?field\_region\_taxonomy\_tid=14</w:t>
        </w:r>
      </w:hyperlink>
    </w:p>
    <w:bookmarkEnd w:id="54"/>
    <w:bookmarkStart w:id="56"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55">
        <w:r>
          <w:rPr>
            <w:rStyle w:val="Hyperlink"/>
          </w:rPr>
          <w:t xml:space="preserve">https://www.justiceinspectorates.gov.uk/hmiprisons/wp-content/uploads/sites/4/2023/08/Grendon-web-2023.pdf</w:t>
        </w:r>
      </w:hyperlink>
    </w:p>
    <w:bookmarkEnd w:id="56"/>
    <w:bookmarkStart w:id="58"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57">
        <w:r>
          <w:rPr>
            <w:rStyle w:val="Hyperlink"/>
          </w:rPr>
          <w:t xml:space="preserve">http://archive.org/details/insteadofprisons00knop</w:t>
        </w:r>
      </w:hyperlink>
    </w:p>
    <w:bookmarkEnd w:id="58"/>
    <w:bookmarkStart w:id="59"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59"/>
    <w:bookmarkStart w:id="60"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60"/>
    <w:bookmarkStart w:id="61"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61"/>
    <w:bookmarkStart w:id="63" w:name="X6a930793a33cb557407da3768bade91857cc1d7"/>
    <w:p>
      <w:pPr>
        <w:pStyle w:val="Bibliography"/>
      </w:pPr>
      <w:r>
        <w:t xml:space="preserve">Ministry of Justice. (2020, October). Story of the prison population 1993 to 2020, Ministry of Justice. Retrieved from</w:t>
      </w:r>
      <w:r>
        <w:t xml:space="preserve"> </w:t>
      </w:r>
      <w:hyperlink r:id="rId62">
        <w:r>
          <w:rPr>
            <w:rStyle w:val="Hyperlink"/>
          </w:rPr>
          <w:t xml:space="preserve">https://www.gov.uk/government/statistics/story-of-the-prison-population-1993-to-2020</w:t>
        </w:r>
      </w:hyperlink>
    </w:p>
    <w:bookmarkEnd w:id="63"/>
    <w:bookmarkStart w:id="64" w:name="ref-morelandOrdinaryMurder2001"/>
    <w:p>
      <w:pPr>
        <w:pStyle w:val="Bibliography"/>
      </w:pPr>
      <w:r>
        <w:t xml:space="preserve">Moreland, L. (2001).</w:t>
      </w:r>
      <w:r>
        <w:t xml:space="preserve"> </w:t>
      </w:r>
      <w:r>
        <w:rPr>
          <w:i/>
          <w:iCs/>
        </w:rPr>
        <w:t xml:space="preserve">An ordinary murder</w:t>
      </w:r>
      <w:r>
        <w:t xml:space="preserve">, London: Aurum.</w:t>
      </w:r>
    </w:p>
    <w:bookmarkEnd w:id="64"/>
    <w:bookmarkStart w:id="66" w:name="ref-nellisQuakersPenalReform2013"/>
    <w:p>
      <w:pPr>
        <w:pStyle w:val="Bibliography"/>
      </w:pPr>
      <w:r>
        <w:t xml:space="preserve">Nellis, M., &amp; Waugh, M. (2013).</w:t>
      </w:r>
      <w:r>
        <w:t xml:space="preserve"> </w:t>
      </w:r>
      <w:hyperlink r:id="rId65">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66"/>
    <w:bookmarkStart w:id="67"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67"/>
    <w:bookmarkStart w:id="68"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68"/>
    <w:bookmarkStart w:id="69"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69"/>
    <w:bookmarkStart w:id="71"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70">
        <w:r>
          <w:rPr>
            <w:rStyle w:val="Hyperlink"/>
          </w:rPr>
          <w:t xml:space="preserve">http://www.quaker.org.uk/files/Circles-of-Support-six-year-report.pdf</w:t>
        </w:r>
      </w:hyperlink>
    </w:p>
    <w:bookmarkEnd w:id="71"/>
    <w:bookmarkStart w:id="72" w:name="ref-vApology2019"/>
    <w:p>
      <w:pPr>
        <w:pStyle w:val="Bibliography"/>
      </w:pPr>
      <w:r>
        <w:t xml:space="preserve">V. (2019).</w:t>
      </w:r>
      <w:r>
        <w:t xml:space="preserve"> </w:t>
      </w:r>
      <w:r>
        <w:rPr>
          <w:i/>
          <w:iCs/>
        </w:rPr>
        <w:t xml:space="preserve">The apology</w:t>
      </w:r>
      <w:r>
        <w:t xml:space="preserve">, New York: Bloomsbury Publishing.</w:t>
      </w:r>
    </w:p>
    <w:bookmarkEnd w:id="72"/>
    <w:bookmarkEnd w:id="73"/>
    <w:bookmarkEnd w:id="7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 “Grendon”. And sure enough, later in the interview he mentioned that he had done part of his sentence there.</w:t>
      </w:r>
    </w:p>
  </w:footnote>
  <w:footnote w:id="20">
    <w:p>
      <w:pPr>
        <w:pStyle w:val="FootnoteText"/>
      </w:pPr>
      <w:r>
        <w:rPr>
          <w:rStyle w:val="FootnoteReference"/>
        </w:rPr>
        <w:footnoteRef/>
      </w:r>
      <w:r>
        <w:t xml:space="preserve"> </w:t>
      </w:r>
      <w:r>
        <w:t xml:space="preserve">Time is short, so if you’re interested, the</w:t>
      </w:r>
      <w:r>
        <w:t xml:space="preserve"> </w:t>
      </w:r>
      <w:hyperlink r:id="rId21">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23">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 ‘normal’ 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25">
    <w:p>
      <w:pPr>
        <w:pStyle w:val="FootnoteText"/>
      </w:pPr>
      <w:r>
        <w:rPr>
          <w:rStyle w:val="FootnoteReference"/>
        </w:rPr>
        <w:footnoteRef/>
      </w:r>
      <w:r>
        <w:t xml:space="preserve"> </w:t>
      </w:r>
      <w:r>
        <w:t xml:space="preserve">A lengthy extract can be found in Quaker Faith &amp; Practice, at 23.103.</w:t>
      </w:r>
    </w:p>
  </w:footnote>
  <w:footnote w:id="26">
    <w:p>
      <w:pPr>
        <w:pStyle w:val="FootnoteText"/>
      </w:pPr>
      <w:r>
        <w:rPr>
          <w:rStyle w:val="FootnoteReference"/>
        </w:rPr>
        <w:footnoteRef/>
      </w:r>
      <w:r>
        <w:t xml:space="preserve"> </w:t>
      </w:r>
      <w:r>
        <w:t xml:space="preserve">This is a fiction, of course, but a useful one. None of us has ever actually said, as Lampen puts it, “I voluntarily surrender my right of retaliation to the state”.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 “An eye for an eye makes the whole world blind”,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27">
    <w:p>
      <w:pPr>
        <w:pStyle w:val="FootnoteText"/>
      </w:pPr>
      <w:r>
        <w:rPr>
          <w:rStyle w:val="FootnoteReference"/>
        </w:rPr>
        <w:footnoteRef/>
      </w:r>
      <w:r>
        <w:t xml:space="preserve"> </w:t>
      </w:r>
      <w:r>
        <w:t xml:space="preserve">V was formerly known as Eve Ensler. Thanks to Alice Ievins for recommending the book.</w:t>
      </w:r>
    </w:p>
  </w:footnote>
  <w:footnote w:id="28">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30">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 ‘whole life order’,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31">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38">
    <w:p>
      <w:pPr>
        <w:pStyle w:val="FootnoteText"/>
      </w:pPr>
      <w:r>
        <w:rPr>
          <w:rStyle w:val="FootnoteReference"/>
        </w:rPr>
        <w:footnoteRef/>
      </w:r>
      <w:r>
        <w:t xml:space="preserve"> </w:t>
      </w:r>
      <w:r>
        <w:t xml:space="preserve">This excerpt can also be found in Quaker Faith &amp; Practice, at 10.18.</w:t>
      </w:r>
    </w:p>
  </w:footnote>
  <w:footnote w:id="42">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2026-04-10T21:18:14Z</dcterms:created>
  <dcterms:modified xsi:type="dcterms:W3CDTF">2026-04-10T21:18:14Z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Imprisonment and the challenge of doing justice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https://www.youtube.com/watch?v=vwqolkC0nnc</vt:lpwstr>
  </property>
</Properties>
</file>