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12"/>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1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1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13"/>
    <w:bookmarkStart w:id="1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14"/>
    <w:bookmarkStart w:id="1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15"/>
    <w:bookmarkStart w:id="16"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16"/>
    <w:bookmarkEnd w:id="17"/>
    <w:bookmarkEnd w:id="18"/>
    <w:bookmarkStart w:id="2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1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2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2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2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24"/>
    <w:bookmarkStart w:id="2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25"/>
    <w:bookmarkStart w:id="33" w:name="sec-accountability"/>
    <w:p>
      <w:pPr>
        <w:pStyle w:val="Heading1"/>
      </w:pPr>
      <w:r>
        <w:t xml:space="preserve">Accountability: what it means and why it matters</w:t>
      </w:r>
    </w:p>
    <w:bookmarkStart w:id="2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26"/>
    <w:bookmarkStart w:id="3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27"/>
      </w:r>
    </w:p>
    <w:bookmarkStart w:id="2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2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(e.g.</w:t>
      </w:r>
      <w:r>
        <w:t xml:space="preserve"> </w:t>
      </w:r>
      <w:hyperlink w:anchor="ref-tasioulasRepentanceLiberalState2007">
        <w:r>
          <w:rPr>
            <w:rStyle w:val="Hyperlink"/>
          </w:rPr>
          <w:t xml:space="preserve">Tasioulas 2007</w:t>
        </w:r>
      </w:hyperlink>
      <w:r>
        <w:t xml:space="preserve">;</w:t>
      </w:r>
      <w:r>
        <w:t xml:space="preserve"> </w:t>
      </w:r>
      <w:hyperlink w:anchor="ref-bottomsPenalCensureRepentance2019">
        <w:r>
          <w:rPr>
            <w:rStyle w:val="Hyperlink"/>
          </w:rPr>
          <w:t xml:space="preserve">Bottoms 2019</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28"/>
    <w:bookmarkEnd w:id="29"/>
    <w:bookmarkStart w:id="3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30"/>
    <w:bookmarkEnd w:id="31"/>
    <w:bookmarkStart w:id="3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32"/>
    <w:bookmarkEnd w:id="33"/>
    <w:bookmarkStart w:id="47" w:name="sec-severity"/>
    <w:p>
      <w:pPr>
        <w:pStyle w:val="Heading1"/>
      </w:pPr>
      <w:r>
        <w:t xml:space="preserve">Schedule 21’s severity prevents accountability</w:t>
      </w:r>
    </w:p>
    <w:bookmarkStart w:id="3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 Chapter 2</w:t>
        </w:r>
      </w:hyperlink>
      <w:r>
        <w:t xml:space="preserve"> </w:t>
      </w:r>
      <w:r>
        <w:t xml:space="preserve">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34"/>
    <w:bookmarkStart w:id="4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3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3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36"/>
    <w:bookmarkStart w:id="3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 Chapter 4</w:t>
        </w:r>
      </w:hyperlink>
      <w:r>
        <w:t xml:space="preserve">)</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37"/>
    <w:bookmarkStart w:id="4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3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38"/>
      </w:r>
    </w:p>
    <w:p>
      <w:pPr>
        <w:pStyle w:val="FirstParagraph"/>
      </w:pPr>
      <w:r>
        <w:t xml:space="preserve">Rafiq was one of many in the samples who fundamentally accepted institutional demands for accountability, while also seeking to be accountable on their own terms.</w:t>
      </w:r>
    </w:p>
    <w:bookmarkEnd w:id="39"/>
    <w:bookmarkStart w:id="4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4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 Chapter 6</w:t>
        </w:r>
      </w:hyperlink>
      <w:r>
        <w:t xml:space="preserve">)</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41"/>
    <w:bookmarkStart w:id="4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42"/>
    <w:bookmarkEnd w:id="43"/>
    <w:bookmarkStart w:id="4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44"/>
    <w:bookmarkEnd w:id="45"/>
    <w:bookmarkStart w:id="4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46"/>
    <w:bookmarkEnd w:id="47"/>
    <w:bookmarkStart w:id="69" w:name="sec-jointEnterprise"/>
    <w:p>
      <w:pPr>
        <w:pStyle w:val="Heading1"/>
      </w:pPr>
      <w:r>
        <w:t xml:space="preserve">Joint enterprise prevents engagement with actual wrongdoing</w:t>
      </w:r>
    </w:p>
    <w:bookmarkStart w:id="4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4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49"/>
    <w:bookmarkStart w:id="65" w:name="X93081e2e632b3e662bbe1cca8ea5e82d1e04aae"/>
    <w:p>
      <w:pPr>
        <w:pStyle w:val="Heading2"/>
      </w:pPr>
      <w:r>
        <w:t xml:space="preserve">Responsibility in cases with multiple defendants</w:t>
      </w:r>
    </w:p>
    <w:bookmarkStart w:id="5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50"/>
      </w:r>
    </w:p>
    <w:tbl>
      <w:tblPr>
        <w:tblStyle w:val="Table"/>
        <w:tblW w:type="pct" w:w="5000"/>
        <w:tblLayout w:type="fixed"/>
        <w:tblLook w:firstRow="0" w:lastRow="0" w:firstColumn="0" w:lastColumn="0" w:noHBand="0" w:noVBand="0" w:val="0000"/>
      </w:tblPr>
      <w:tblGrid>
        <w:gridCol w:w="7920"/>
      </w:tblGrid>
      <w:tr>
        <w:tc>
          <w:tcPr/>
          <w:bookmarkStart w:id="5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5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5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5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54"/>
    <w:bookmarkStart w:id="6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5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56"/>
      </w:r>
    </w:p>
    <w:p>
      <w:pPr>
        <w:pStyle w:val="BlockText"/>
      </w:pPr>
      <w:r>
        <w:t xml:space="preserve">I’m Joint Enterprise, so I didn’t do it. This is just… wrong people, wrong place, wrong time. Wrong whatever.</w:t>
      </w:r>
      <w:r>
        <w:rPr>
          <w:rStyle w:val="FootnoteReference"/>
        </w:rPr>
        <w:footnoteReference w:id="5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5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5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60"/>
    <w:bookmarkStart w:id="6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6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6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63"/>
    <w:bookmarkStart w:id="6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64"/>
    <w:bookmarkEnd w:id="65"/>
    <w:bookmarkStart w:id="6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68"/>
    <w:bookmarkEnd w:id="69"/>
    <w:bookmarkStart w:id="76" w:name="sec-vulnerabilities"/>
    <w:p>
      <w:pPr>
        <w:pStyle w:val="Heading1"/>
      </w:pPr>
      <w:r>
        <w:t xml:space="preserve">Invisible vulnerabilities and accountability</w:t>
      </w:r>
    </w:p>
    <w:bookmarkStart w:id="7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 Chapter 3</w:t>
        </w:r>
      </w:hyperlink>
      <w:r>
        <w:t xml:space="preserve">)</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70"/>
    <w:bookmarkStart w:id="7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7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72"/>
    <w:bookmarkStart w:id="7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7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73"/>
    <w:bookmarkEnd w:id="74"/>
    <w:bookmarkStart w:id="7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75"/>
    <w:bookmarkEnd w:id="76"/>
    <w:bookmarkStart w:id="8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7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77"/>
    <w:bookmarkStart w:id="7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 chap. 2)</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78"/>
    <w:bookmarkStart w:id="7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79"/>
    <w:bookmarkStart w:id="8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mhja\scoop\apps\quarto\current\share\formats\docx\tip.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mhja\scoop\apps\quarto\current\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bmhja\scoop\apps\quarto\current\share\formats\docx\tip.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86"/>
    <w:bookmarkStart w:id="8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87"/>
    <w:bookmarkEnd w:id="88"/>
    <w:bookmarkStart w:id="9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89">
        <w:r>
          <w:rPr>
            <w:rStyle w:val="Hyperlink"/>
          </w:rPr>
          <w:t xml:space="preserve">b.jarman@soton.ac.uk</w:t>
        </w:r>
      </w:hyperlink>
    </w:p>
    <w:p>
      <w:r>
        <w:br w:type="page"/>
      </w:r>
    </w:p>
    <w:bookmarkEnd w:id="90"/>
    <w:bookmarkStart w:id="9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91"/>
      </w:r>
    </w:p>
    <w:tbl>
      <w:tblPr>
        <w:tblStyle w:val="Table"/>
        <w:tblW w:type="pct" w:w="5000"/>
        <w:tblLayout w:type="fixed"/>
        <w:tblLook w:firstRow="0" w:lastRow="0" w:firstColumn="0" w:lastColumn="0" w:noHBand="0" w:noVBand="0" w:val="0000"/>
      </w:tblPr>
      <w:tblGrid>
        <w:gridCol w:w="7920"/>
      </w:tblGrid>
      <w:tr>
        <w:tc>
          <w:tcPr/>
          <w:bookmarkStart w:id="9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92"/>
                  </w:r>
                </w:p>
              </w:tc>
              <w:tc>
                <w:tcPr/>
                <w:p>
                  <w:pPr>
                    <w:pStyle w:val="Compact"/>
                    <w:jc w:val="center"/>
                  </w:pPr>
                  <w:r>
                    <w:t xml:space="preserve">Participant’s admitted role</w:t>
                  </w:r>
                  <w:r>
                    <w:rPr>
                      <w:rStyle w:val="FootnoteReference"/>
                    </w:rPr>
                    <w:footnoteReference w:id="9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9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9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9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97"/>
                  </w:r>
                </w:p>
              </w:tc>
              <w:tc>
                <w:tcPr/>
                <w:p>
                  <w:pPr>
                    <w:pStyle w:val="Compact"/>
                    <w:jc w:val="center"/>
                  </w:pPr>
                  <w:r>
                    <w:t xml:space="preserve">Not guilty</w:t>
                  </w:r>
                </w:p>
              </w:tc>
              <w:tc>
                <w:tcPr/>
                <w:p>
                  <w:pPr>
                    <w:pStyle w:val="Compact"/>
                    <w:jc w:val="center"/>
                  </w:pPr>
                  <w:r>
                    <w:t xml:space="preserve">No</w:t>
                  </w:r>
                </w:p>
              </w:tc>
            </w:tr>
          </w:tbl>
          <w:bookmarkEnd w:id="98"/>
          <w:p/>
        </w:tc>
      </w:tr>
    </w:tbl>
    <w:p>
      <w:r>
        <w:br w:type="page"/>
      </w:r>
    </w:p>
    <w:bookmarkEnd w:id="99"/>
    <w:bookmarkStart w:id="178" w:name="references"/>
    <w:p>
      <w:pPr>
        <w:pStyle w:val="Heading1"/>
      </w:pPr>
      <w:r>
        <w:t xml:space="preserve">References</w:t>
      </w:r>
    </w:p>
    <w:bookmarkStart w:id="177" w:name="refs"/>
    <w:bookmarkStart w:id="101" w:name="ref-anonymous3HowLong1973"/>
    <w:p>
      <w:pPr>
        <w:pStyle w:val="Bibliography"/>
      </w:pPr>
      <w:r>
        <w:t xml:space="preserve">Anonymous. (1973).</w:t>
      </w:r>
      <w:r>
        <w:t xml:space="preserve"> </w:t>
      </w:r>
      <w:hyperlink r:id="rId10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01"/>
    <w:bookmarkStart w:id="10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02"/>
    <w:bookmarkStart w:id="10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03"/>
    <w:bookmarkStart w:id="105" w:name="ref-creweSedativeCopingContextual2024"/>
    <w:p>
      <w:pPr>
        <w:pStyle w:val="Bibliography"/>
      </w:pPr>
      <w:r>
        <w:t xml:space="preserve">Crewe, B. (2024).</w:t>
      </w:r>
      <w:r>
        <w:t xml:space="preserve"> </w:t>
      </w:r>
      <w:hyperlink r:id="rId104">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05"/>
    <w:bookmarkStart w:id="107" w:name="ref-creweSwimmingTideAdapting2017"/>
    <w:p>
      <w:pPr>
        <w:pStyle w:val="Bibliography"/>
      </w:pPr>
      <w:r>
        <w:t xml:space="preserve">Crewe, B., Hulley, S., &amp; Wright, S. (2017).</w:t>
      </w:r>
      <w:r>
        <w:t xml:space="preserve"> </w:t>
      </w:r>
      <w:hyperlink r:id="rId10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07"/>
    <w:bookmarkStart w:id="10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08"/>
    <w:bookmarkStart w:id="11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09">
        <w:r>
          <w:rPr>
            <w:rStyle w:val="Hyperlink"/>
          </w:rPr>
          <w:t xml:space="preserve">10.1093/oso/9780195104295.001.0001</w:t>
        </w:r>
      </w:hyperlink>
    </w:p>
    <w:bookmarkEnd w:id="110"/>
    <w:bookmarkStart w:id="11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11">
        <w:r>
          <w:rPr>
            <w:rStyle w:val="Hyperlink"/>
          </w:rPr>
          <w:t xml:space="preserve">10.1093/acprof:oso/9780199752232.003.0002</w:t>
        </w:r>
      </w:hyperlink>
    </w:p>
    <w:bookmarkEnd w:id="112"/>
    <w:bookmarkStart w:id="114" w:name="ref-hamptonCorrectingHarmsRighting1991"/>
    <w:p>
      <w:pPr>
        <w:pStyle w:val="Bibliography"/>
      </w:pPr>
      <w:r>
        <w:t xml:space="preserve">Hampton, J. (1991).</w:t>
      </w:r>
      <w:r>
        <w:t xml:space="preserve"> </w:t>
      </w:r>
      <w:hyperlink r:id="rId11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14"/>
    <w:bookmarkStart w:id="116" w:name="X2e62cf82adae5e87b20b7fad80ca493445906bd"/>
    <w:p>
      <w:pPr>
        <w:pStyle w:val="Bibliography"/>
      </w:pPr>
      <w:r>
        <w:t xml:space="preserve">Herbert, S. (2018).</w:t>
      </w:r>
      <w:r>
        <w:t xml:space="preserve"> </w:t>
      </w:r>
      <w:hyperlink r:id="rId11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16"/>
    <w:bookmarkStart w:id="11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17">
        <w:r>
          <w:rPr>
            <w:rStyle w:val="Hyperlink"/>
          </w:rPr>
          <w:t xml:space="preserve">https://hmiprobation.justiceinspectorates.gov.uk/our-research/evidence-base-probation-service/models-and-principles/the-risk-need-responsivity-model/</w:t>
        </w:r>
      </w:hyperlink>
    </w:p>
    <w:bookmarkEnd w:id="118"/>
    <w:bookmarkStart w:id="120" w:name="X42d08177b6d0cf258638f2b74bced87fa6c2818"/>
    <w:p>
      <w:pPr>
        <w:pStyle w:val="Bibliography"/>
      </w:pPr>
      <w:r>
        <w:t xml:space="preserve">Hulley, S., Crewe, B., &amp; Wright, S. (2016).</w:t>
      </w:r>
      <w:r>
        <w:t xml:space="preserve"> </w:t>
      </w:r>
      <w:hyperlink r:id="rId11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20"/>
    <w:bookmarkStart w:id="122" w:name="ref-hulleyMakingSenseJoint2019"/>
    <w:p>
      <w:pPr>
        <w:pStyle w:val="Bibliography"/>
      </w:pPr>
      <w:r>
        <w:t xml:space="preserve">Hulley, S., Crewe, B., &amp; Wright, S. (2019).</w:t>
      </w:r>
      <w:r>
        <w:t xml:space="preserve"> </w:t>
      </w:r>
      <w:hyperlink r:id="rId121">
        <w:r>
          <w:rPr>
            <w:rStyle w:val="Hyperlink"/>
          </w:rPr>
          <w:t xml:space="preserve">Making Sense of ‘Joint Enterprise’ 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22"/>
    <w:bookmarkStart w:id="12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23"/>
    <w:bookmarkStart w:id="12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24">
        <w:r>
          <w:rPr>
            <w:rStyle w:val="Hyperlink"/>
          </w:rPr>
          <w:t xml:space="preserve">https://prisonreformtrust.org.uk/independent-commission-calls-for-national-debate-on-sentencing-for-serious-crime/</w:t>
        </w:r>
      </w:hyperlink>
    </w:p>
    <w:bookmarkEnd w:id="125"/>
    <w:bookmarkStart w:id="12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26">
        <w:r>
          <w:rPr>
            <w:rStyle w:val="Hyperlink"/>
          </w:rPr>
          <w:t xml:space="preserve">https://assets.publishing.service.gov.uk/media/67c583a868a61757838d2196/independent-sentencing-review-part-1-report.pdf</w:t>
        </w:r>
      </w:hyperlink>
    </w:p>
    <w:bookmarkEnd w:id="127"/>
    <w:bookmarkStart w:id="12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28"/>
    <w:bookmarkStart w:id="13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29">
        <w:r>
          <w:rPr>
            <w:rStyle w:val="Hyperlink"/>
          </w:rPr>
          <w:t xml:space="preserve">https://www.repository.cam.ac.uk/handle/1810/286064</w:t>
        </w:r>
      </w:hyperlink>
    </w:p>
    <w:bookmarkEnd w:id="130"/>
    <w:bookmarkStart w:id="132" w:name="ref-jarmanOnlyOneWay2020"/>
    <w:p>
      <w:pPr>
        <w:pStyle w:val="Bibliography"/>
      </w:pPr>
      <w:r>
        <w:t xml:space="preserve">Jarman, B. (2020).</w:t>
      </w:r>
      <w:r>
        <w:t xml:space="preserve"> </w:t>
      </w:r>
      <w:hyperlink r:id="rId13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32"/>
    <w:bookmarkStart w:id="134" w:name="ref-jarmanLifeImprisonmentMature2022"/>
    <w:p>
      <w:pPr>
        <w:pStyle w:val="Bibliography"/>
      </w:pPr>
      <w:r>
        <w:t xml:space="preserve">Jarman, B. (2022).</w:t>
      </w:r>
      <w:r>
        <w:t xml:space="preserve"> </w:t>
      </w:r>
      <w:hyperlink r:id="rId13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34"/>
    <w:bookmarkStart w:id="136" w:name="ref-jarmanMoralMessagesEthical2024"/>
    <w:p>
      <w:pPr>
        <w:pStyle w:val="Bibliography"/>
      </w:pPr>
      <w:r>
        <w:t xml:space="preserve">Jarman, B. (2024, June 6).</w:t>
      </w:r>
      <w:r>
        <w:t xml:space="preserve"> </w:t>
      </w:r>
      <w:hyperlink r:id="rId13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36"/>
    <w:bookmarkStart w:id="137" w:name="Xc6f8c873d2349e41ad29bd19cc9e8de32510e34"/>
    <w:p>
      <w:pPr>
        <w:pStyle w:val="Bibliography"/>
      </w:pPr>
      <w:r>
        <w:t xml:space="preserve">Jarman, B., &amp; Crewe, B. (n.d.). Suffering, retribution, and moral accountability in the contemporary life sentence. In.</w:t>
      </w:r>
    </w:p>
    <w:bookmarkEnd w:id="137"/>
    <w:bookmarkStart w:id="13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38">
        <w:r>
          <w:rPr>
            <w:rStyle w:val="Hyperlink"/>
          </w:rPr>
          <w:t xml:space="preserve">https://prisonreformtrust.org.uk/publication/making-progress/</w:t>
        </w:r>
      </w:hyperlink>
    </w:p>
    <w:bookmarkEnd w:id="139"/>
    <w:bookmarkStart w:id="141" w:name="ref-lieblingPrisonSuicidePrisoner1999"/>
    <w:p>
      <w:pPr>
        <w:pStyle w:val="Bibliography"/>
      </w:pPr>
      <w:r>
        <w:t xml:space="preserve">Liebling, A. (1999).</w:t>
      </w:r>
      <w:r>
        <w:t xml:space="preserve"> </w:t>
      </w:r>
      <w:hyperlink r:id="rId14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41"/>
    <w:bookmarkStart w:id="143" w:name="ref-loeberAgecrimeCurve2014"/>
    <w:p>
      <w:pPr>
        <w:pStyle w:val="Bibliography"/>
      </w:pPr>
      <w:r>
        <w:t xml:space="preserve">Loeber, R., &amp; Farrington, D. P. (2014).</w:t>
      </w:r>
      <w:r>
        <w:t xml:space="preserve"> </w:t>
      </w:r>
      <w:hyperlink r:id="rId14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43"/>
    <w:bookmarkStart w:id="14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44">
        <w:r>
          <w:rPr>
            <w:rStyle w:val="Hyperlink"/>
          </w:rPr>
          <w:t xml:space="preserve">https://questions-statements.parliament.uk/written-questions/detail/2024-01-10/hl1419</w:t>
        </w:r>
      </w:hyperlink>
    </w:p>
    <w:bookmarkEnd w:id="145"/>
    <w:bookmarkStart w:id="14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46">
        <w:r>
          <w:rPr>
            <w:rStyle w:val="Hyperlink"/>
          </w:rPr>
          <w:t xml:space="preserve">https://www.nuffieldfoundation.org/sites/default/files/files/Public%20Opinion%20and%20Sentencing%20for%20Murder_Mitchell&amp;Robertsv_FINAL.pdf</w:t>
        </w:r>
      </w:hyperlink>
    </w:p>
    <w:bookmarkEnd w:id="147"/>
    <w:bookmarkStart w:id="149" w:name="ref-pina-sanchezHaveEnglandWales2019"/>
    <w:p>
      <w:pPr>
        <w:pStyle w:val="Bibliography"/>
      </w:pPr>
      <w:r>
        <w:t xml:space="preserve">Pina-Sánchez, J., Gosling, J. P., Chung, H.-I., Bourgeois, E., Geneletti, S., &amp; Marder, I. D. (2019).</w:t>
      </w:r>
      <w:r>
        <w:t xml:space="preserve"> </w:t>
      </w:r>
      <w:hyperlink r:id="rId14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49"/>
    <w:bookmarkStart w:id="15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50">
        <w:r>
          <w:rPr>
            <w:rStyle w:val="Hyperlink"/>
          </w:rPr>
          <w:t xml:space="preserve">https://www.sentencingacademy.org.uk/wp-content/uploads/2025/04/Measuring-Sentence-Inflation-in-England-and-Wales.pdf</w:t>
        </w:r>
      </w:hyperlink>
    </w:p>
    <w:bookmarkEnd w:id="151"/>
    <w:bookmarkStart w:id="15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52">
        <w:r>
          <w:rPr>
            <w:rStyle w:val="Hyperlink"/>
          </w:rPr>
          <w:t xml:space="preserve">http://www.prisonreformtrust.org.uk/Portals/0/Documents/Bromley%20Briefings/Autumn%202018%20Factfile.pdf</w:t>
        </w:r>
      </w:hyperlink>
    </w:p>
    <w:bookmarkEnd w:id="153"/>
    <w:bookmarkStart w:id="15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54">
        <w:r>
          <w:rPr>
            <w:rStyle w:val="Hyperlink"/>
          </w:rPr>
          <w:t xml:space="preserve">http://www.prisonreformtrust.org.uk/Portals/0/Documents/Building%20Futures/Long-term%20prisoners_the%20facts_2021.pdf</w:t>
        </w:r>
      </w:hyperlink>
    </w:p>
    <w:bookmarkEnd w:id="155"/>
    <w:bookmarkStart w:id="15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56">
        <w:r>
          <w:rPr>
            <w:rStyle w:val="Hyperlink"/>
          </w:rPr>
          <w:t xml:space="preserve">https://sentencingacademy.org.uk/2022/01/public-knowledge-of-sentencing-practice-and-trends/</w:t>
        </w:r>
      </w:hyperlink>
    </w:p>
    <w:bookmarkEnd w:id="157"/>
    <w:bookmarkStart w:id="15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58"/>
    <w:bookmarkStart w:id="160" w:name="ref-tasioulasPunishmentRepentance2006"/>
    <w:p>
      <w:pPr>
        <w:pStyle w:val="Bibliography"/>
      </w:pPr>
      <w:r>
        <w:t xml:space="preserve">Tasioulas, J. (2006).</w:t>
      </w:r>
      <w:r>
        <w:t xml:space="preserve"> </w:t>
      </w:r>
      <w:hyperlink r:id="rId15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60"/>
    <w:bookmarkStart w:id="162" w:name="ref-tasioulasRepentanceLiberalState2007"/>
    <w:p>
      <w:pPr>
        <w:pStyle w:val="Bibliography"/>
      </w:pPr>
      <w:r>
        <w:t xml:space="preserve">Tasioulas, J. (2007).</w:t>
      </w:r>
      <w:r>
        <w:t xml:space="preserve"> </w:t>
      </w:r>
      <w:hyperlink r:id="rId16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62"/>
    <w:bookmarkStart w:id="164" w:name="ref-thelawcommissionHomicideLawCall2025"/>
    <w:p>
      <w:pPr>
        <w:pStyle w:val="Bibliography"/>
      </w:pPr>
      <w:r>
        <w:t xml:space="preserve">The Law Commission. (2025, August 14). Homicide law: call for evidence, The Law Commission. Retrieved from</w:t>
      </w:r>
      <w:r>
        <w:t xml:space="preserve"> </w:t>
      </w:r>
      <w:hyperlink r:id="rId163">
        <w:r>
          <w:rPr>
            <w:rStyle w:val="Hyperlink"/>
          </w:rPr>
          <w:t xml:space="preserve">https://lawcom.gov.uk/publication/homicide-law-call-for-evidence/</w:t>
        </w:r>
      </w:hyperlink>
    </w:p>
    <w:bookmarkEnd w:id="164"/>
    <w:bookmarkStart w:id="16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65">
        <w:r>
          <w:rPr>
            <w:rStyle w:val="Hyperlink"/>
          </w:rPr>
          <w:t xml:space="preserve">10.1093/bjc/azae088</w:t>
        </w:r>
      </w:hyperlink>
    </w:p>
    <w:bookmarkEnd w:id="166"/>
    <w:bookmarkStart w:id="168" w:name="ref-vonhirschPunishmentPenanceState2005"/>
    <w:p>
      <w:pPr>
        <w:pStyle w:val="Bibliography"/>
      </w:pPr>
      <w:r>
        <w:t xml:space="preserve">Von Hirsch, A. (2005).</w:t>
      </w:r>
      <w:r>
        <w:t xml:space="preserve"> </w:t>
      </w:r>
      <w:hyperlink r:id="rId16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68"/>
    <w:bookmarkStart w:id="17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69">
        <w:r>
          <w:rPr>
            <w:rStyle w:val="Hyperlink"/>
          </w:rPr>
          <w:t xml:space="preserve">https://assets.publishing.service.gov.uk/government/uploads/system/uploads/attachment_data/file/1143045/domestic-homicide-sentencing-review.pdf</w:t>
        </w:r>
      </w:hyperlink>
    </w:p>
    <w:bookmarkEnd w:id="170"/>
    <w:bookmarkStart w:id="172" w:name="ref-warrAlwaysGottaBe2020"/>
    <w:p>
      <w:pPr>
        <w:pStyle w:val="Bibliography"/>
      </w:pPr>
      <w:r>
        <w:t xml:space="preserve">Warr, J. (2020).</w:t>
      </w:r>
      <w:r>
        <w:t xml:space="preserve"> </w:t>
      </w:r>
      <w:hyperlink r:id="rId171">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72"/>
    <w:bookmarkStart w:id="17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73">
        <w:r>
          <w:rPr>
            <w:rStyle w:val="Hyperlink"/>
          </w:rPr>
          <w:t xml:space="preserve">https://howardleague.org/wp-content/uploads/2024/09/Sentencing-inflation-a-judicial-critique__September-2024-1.pdf</w:t>
        </w:r>
      </w:hyperlink>
    </w:p>
    <w:bookmarkEnd w:id="174"/>
    <w:bookmarkStart w:id="176" w:name="Xd1aa781e2053eba6dcb2cbbfb606518f9d8515a"/>
    <w:p>
      <w:pPr>
        <w:pStyle w:val="Bibliography"/>
      </w:pPr>
      <w:r>
        <w:t xml:space="preserve">Wright, S., Crewe, B., &amp; Hulley, S. (2017).</w:t>
      </w:r>
      <w:r>
        <w:t xml:space="preserve"> </w:t>
      </w:r>
      <w:hyperlink r:id="rId17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76"/>
    <w:bookmarkEnd w:id="177"/>
    <w:bookmarkEnd w:id="17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1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20">
    <w:p>
      <w:pPr>
        <w:pStyle w:val="FootnoteText"/>
      </w:pPr>
      <w:r>
        <w:rPr>
          <w:rStyle w:val="FootnoteReference"/>
        </w:rPr>
        <w:footnoteRef/>
      </w:r>
      <w:r>
        <w:t xml:space="preserve"> </w:t>
      </w:r>
      <w:r>
        <w:t xml:space="preserve">Comparable data for the MPhil sample are not available.</w:t>
      </w:r>
    </w:p>
  </w:footnote>
  <w:footnote w:id="2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2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2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35">
    <w:p>
      <w:pPr>
        <w:pStyle w:val="FootnoteText"/>
      </w:pPr>
      <w:r>
        <w:rPr>
          <w:rStyle w:val="FootnoteReference"/>
        </w:rPr>
        <w:footnoteRef/>
      </w:r>
      <w:r>
        <w:t xml:space="preserve"> </w:t>
      </w:r>
      <w:r>
        <w:rPr>
          <w:i/>
          <w:iCs/>
        </w:rPr>
        <w:t xml:space="preserve">Hansard</w:t>
      </w:r>
      <w:r>
        <w:t xml:space="preserve">, HC Deb 20 May 2003 vol 405 c 867–8, 874</w:t>
      </w:r>
    </w:p>
  </w:footnote>
  <w:footnote w:id="38">
    <w:p>
      <w:pPr>
        <w:pStyle w:val="FootnoteText"/>
      </w:pPr>
      <w:r>
        <w:rPr>
          <w:rStyle w:val="FootnoteReference"/>
        </w:rPr>
        <w:footnoteRef/>
      </w:r>
      <w:r>
        <w:t xml:space="preserve"> </w:t>
      </w:r>
      <w:r>
        <w:t xml:space="preserve">Emphases added.</w:t>
      </w:r>
    </w:p>
  </w:footnote>
  <w:footnote w:id="4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48">
    <w:p>
      <w:pPr>
        <w:pStyle w:val="FootnoteText"/>
      </w:pPr>
      <w:r>
        <w:rPr>
          <w:rStyle w:val="FootnoteReference"/>
        </w:rPr>
        <w:footnoteRef/>
      </w:r>
      <w:r>
        <w:t xml:space="preserve"> </w:t>
      </w:r>
      <w:r>
        <w:t xml:space="preserve">R v Jogee, Ruddock v The Queen [2016] UKSC 8</w:t>
      </w:r>
    </w:p>
  </w:footnote>
  <w:footnote w:id="5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5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5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5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5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5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58">
    <w:p>
      <w:pPr>
        <w:pStyle w:val="FootnoteText"/>
      </w:pPr>
      <w:r>
        <w:rPr>
          <w:rStyle w:val="FootnoteReference"/>
        </w:rPr>
        <w:footnoteRef/>
      </w:r>
      <w:r>
        <w:t xml:space="preserve"> </w:t>
      </w:r>
      <w:r>
        <w:t xml:space="preserve">i.e. serving the sentence.</w:t>
      </w:r>
    </w:p>
  </w:footnote>
  <w:footnote w:id="5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6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6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9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92">
    <w:p>
      <w:pPr>
        <w:pStyle w:val="FootnoteText"/>
      </w:pPr>
      <w:r>
        <w:rPr>
          <w:rStyle w:val="FootnoteReference"/>
        </w:rPr>
        <w:footnoteRef/>
      </w:r>
      <w:r>
        <w:t xml:space="preserve"> </w:t>
      </w:r>
      <w:r>
        <w:t xml:space="preserve">Rows 1–4: taken from press coverage of conviction. Rows 5–19: noted from sentencing remarks or OASys.</w:t>
      </w:r>
    </w:p>
  </w:footnote>
  <w:footnote w:id="93">
    <w:p>
      <w:pPr>
        <w:pStyle w:val="FootnoteText"/>
      </w:pPr>
      <w:r>
        <w:rPr>
          <w:rStyle w:val="FootnoteReference"/>
        </w:rPr>
        <w:footnoteRef/>
      </w:r>
      <w:r>
        <w:t xml:space="preserve"> </w:t>
      </w:r>
      <w:r>
        <w:t xml:space="preserve">As described in interviews.</w:t>
      </w:r>
    </w:p>
  </w:footnote>
  <w:footnote w:id="9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9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2026-04-10T21:18:44Z</dcterms:created>
  <dcterms:modified xsi:type="dcterms:W3CDTF">2026-04-10T21:18:44Z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Law of homicide review</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https://eprints.soton.ac.uk/id/eprint/507579</vt:lpwstr>
  </property>
</Properties>
</file>