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12">
              <w:r>
                <w:rPr>
                  <w:rStyle w:val="Hyperlink"/>
                </w:rPr>
                <w:t xml:space="preserve">the journal website</w:t>
              </w:r>
            </w:hyperlink>
            <w:r>
              <w:t xml:space="preserve">.</w:t>
            </w:r>
          </w:p>
          <w:p/>
        </w:tc>
      </w:tr>
    </w:tbl>
    <w:bookmarkStart w:id="13"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 ‘catastrophic’,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 ‘middle age’.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 ‘live in the past’.</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13"/>
    <w:bookmarkStart w:id="17"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14"/>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 ‘ethical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15"/>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16"/>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 ‘criminals’,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17"/>
    <w:bookmarkStart w:id="29" w:name="findings"/>
    <w:p>
      <w:pPr>
        <w:pStyle w:val="Heading1"/>
      </w:pPr>
      <w:r>
        <w:t xml:space="preserve">Findings</w:t>
      </w:r>
    </w:p>
    <w:bookmarkStart w:id="22" w:name="Xfbae3ab00391a09c116da3962f387a534b96709"/>
    <w:p>
      <w:pPr>
        <w:pStyle w:val="Heading2"/>
      </w:pPr>
      <w:r>
        <w:t xml:space="preserve">Rapid adjustment in the early sentence stages</w:t>
      </w:r>
    </w:p>
    <w:p>
      <w:pPr>
        <w:pStyle w:val="FirstParagraph"/>
      </w:pPr>
      <w:r>
        <w:t xml:space="preserve">The six men in the ‘very early’ and ‘early’ stages of the sentence (four of whom were in prison for the first time) alluded to experiences of ‘entry shock’. However, they did so in terms suggesting neither the ‘catastrophic’ 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18"/>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 ‘despair and disbelief’ and ‘temporary moral suspension’ 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19"/>
      </w:r>
      <w:r>
        <w:t xml:space="preserve"> </w:t>
      </w:r>
      <w:r>
        <w:t xml:space="preserve">In some cases, moral guilt ran deep, as Gary explained:</w:t>
      </w:r>
      <w:r>
        <w:rPr>
          <w:rStyle w:val="FootnoteReference"/>
        </w:rPr>
        <w:footnoteReference w:id="20"/>
      </w:r>
    </w:p>
    <w:p>
      <w:pPr>
        <w:pStyle w:val="BlockText"/>
      </w:pPr>
      <w:r>
        <w:t xml:space="preserve">I hate myself for it. And [I] still think, ‘Hang me, or needle, or whatever they want to do’.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21"/>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 ‘temporal vertigo’ 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 ‘pragmatists’, in that most appeared ‘not [to] dwell on their moral status or the legitimacy of their predicament’, but instead simply got on with the sentence.</w:t>
      </w:r>
    </w:p>
    <w:bookmarkEnd w:id="22"/>
    <w:bookmarkStart w:id="23"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 ‘progressive’ 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 ‘livid’ about it. Confronting the offence and rehearsing a narrative of ‘change’ was not often a priority for those with years of their tariff left to serve. They felt little pressure to be more proactive. Category-B regimes afforded them (relatively) more comfortable accommodation and a more conducive regime than they anticipated in ‘chaotic’ (Pete)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23"/>
    <w:bookmarkStart w:id="28"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 ‘mistake’, highlighted aspects of their lives which were mostly irrelevant to their offending, but which suggested their ‘real’ 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 ‘true self’ at the time</w:t>
            </w:r>
          </w:p>
        </w:tc>
        <w:tc>
          <w:tcPr/>
          <w:p>
            <w:pPr>
              <w:pStyle w:val="Compact"/>
              <w:jc w:val="center"/>
            </w:pPr>
            <w:r>
              <w:t xml:space="preserve">A culmination, continuous with the ‘true self’ 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 ‘their label’</w:t>
            </w:r>
          </w:p>
        </w:tc>
        <w:tc>
          <w:tcPr/>
          <w:p>
            <w:pPr>
              <w:pStyle w:val="Compact"/>
              <w:jc w:val="center"/>
            </w:pPr>
            <w:r>
              <w:t xml:space="preserve">Recognition, ‘my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 ‘good person who made a mistake’ and ‘bad person who became good’ narratives highlighted among young lifers, and the ‘stability’, ‘return’, and ‘elastic’ 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 ‘no respect for cons’ but had nonetheless been ‘an arsehole’ before prison. He declared, ‘if I was a judge, I would have been harder on me than he was’. But he emphasised that his ‘wild’ lifestyle had been paid for by lawful earnings and wealth. Paradoxically, he judged himself more harshly for his past conduct in intimate relationships than for murdering the victim (‘a cunt’) whose provocations Robert said had caused the offence. The conviction had not erased his sense of social status in relation to other prisoners (who he derided as ‘scum’).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 ‘catastrophe’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 ‘real’ criminals. It followed that most questioned the idea that they had reformative work to do, by reducing risk or changing their characters. Their scepticism about risk reduction, at least, was not groundless: ten men in the subsample had ‘low’ actuarial risk scores across the board</w:t>
      </w:r>
      <w:r>
        <w:rPr>
          <w:rStyle w:val="FootnoteReference"/>
        </w:rPr>
        <w:footnoteReference w:id="24"/>
      </w:r>
      <w:r>
        <w:t xml:space="preserve"> </w:t>
      </w:r>
      <w:r>
        <w:t xml:space="preserve">and none scored ‘high’. In Risk of Serious Harm assessments, only one posed more than a ‘low’ risk to any group in custody, although all fifteen were expected to pose at least a ‘medium’ risk to at least one group in the community.</w:t>
      </w:r>
      <w:r>
        <w:rPr>
          <w:rStyle w:val="FootnoteReference"/>
        </w:rPr>
        <w:footnoteReference w:id="25"/>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26"/>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27"/>
      </w:r>
    </w:p>
    <w:p>
      <w:pPr>
        <w:pStyle w:val="BodyText"/>
      </w:pPr>
      <w:r>
        <w:t xml:space="preserve">To Group 1, others who displayed ‘appalling’ (Gerald) conduct in prison seemed to be the ‘real’ criminals (and far ‘riskier’). Group 1 framed their index offences as discontinuous with patterns in their longer-term behaviour. They were compliant and ‘low risk’,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penalty—‘suck[ing] it up’ (Robert)—was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 ‘You need to get help’. [I was] very stubborn, and thinking, ‘well, there’s nothing wrong with me, why do [they] keep saying that?’ […]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 “twenty years ago you would have done [i.e. assaulted] that geezer…” You’ve got to do what you’ve got to do […] [But] if I have an argument now […] I go all faint, I can’t get my breath. It’s terrible […] if someone says something, I still can’t help giving it back […] Even though I know I can’t back it up no more. (Terry)</w:t>
      </w:r>
    </w:p>
    <w:bookmarkEnd w:id="28"/>
    <w:bookmarkEnd w:id="29"/>
    <w:bookmarkStart w:id="31"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 ‘risky’ 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 ‘change’ 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 “just not interested” (Grant). They felt pains of ‘tightness’ less keenly,</w:t>
      </w:r>
      <w:r>
        <w:rPr>
          <w:rStyle w:val="FootnoteReference"/>
        </w:rPr>
        <w:footnoteReference w:id="30"/>
      </w:r>
      <w:r>
        <w:t xml:space="preserve"> </w:t>
      </w:r>
      <w:r>
        <w:t xml:space="preserve">since they conformed to prison regimes readily. But they found it painful to have to associate with others they saw as ‘real’ criminals, and they often felt unclear about what reformative ‘change’ 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 ‘change’ 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31"/>
    <w:bookmarkStart w:id="57" w:name="references"/>
    <w:p>
      <w:pPr>
        <w:pStyle w:val="Heading1"/>
      </w:pPr>
      <w:r>
        <w:t xml:space="preserve">References</w:t>
      </w:r>
    </w:p>
    <w:bookmarkStart w:id="56" w:name="refs"/>
    <w:bookmarkStart w:id="32"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32"/>
    <w:bookmarkStart w:id="33"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33"/>
    <w:bookmarkStart w:id="34"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34"/>
    <w:bookmarkStart w:id="35"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35"/>
    <w:bookmarkStart w:id="36"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36"/>
    <w:bookmarkStart w:id="37"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7"/>
    <w:bookmarkStart w:id="38"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38"/>
    <w:bookmarkStart w:id="3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9"/>
    <w:bookmarkStart w:id="40"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40"/>
    <w:bookmarkStart w:id="41"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41"/>
    <w:bookmarkStart w:id="42"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42"/>
    <w:bookmarkStart w:id="43"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3"/>
    <w:bookmarkStart w:id="44"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44"/>
    <w:bookmarkStart w:id="45"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45"/>
    <w:bookmarkStart w:id="46"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46"/>
    <w:bookmarkStart w:id="47"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47"/>
    <w:bookmarkStart w:id="48"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48"/>
    <w:bookmarkStart w:id="49"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49"/>
    <w:bookmarkStart w:id="50" w:name="ref-oedCulpableAdj1989"/>
    <w:p>
      <w:pPr>
        <w:pStyle w:val="Bibliography"/>
      </w:pPr>
      <w:r>
        <w:t xml:space="preserve">OED. (1989). Culpable, adj. And n., 2nd.</w:t>
      </w:r>
    </w:p>
    <w:bookmarkEnd w:id="50"/>
    <w:bookmarkStart w:id="51"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51"/>
    <w:bookmarkStart w:id="52"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52"/>
    <w:bookmarkStart w:id="53"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53"/>
    <w:bookmarkStart w:id="54"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54"/>
    <w:bookmarkStart w:id="55"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55"/>
    <w:bookmarkEnd w:id="56"/>
    <w:bookmarkEnd w:id="5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For clarity, this means that they had all been convicted of murder.</w:t>
      </w:r>
    </w:p>
  </w:footnote>
  <w:footnote w:id="15">
    <w:p>
      <w:pPr>
        <w:pStyle w:val="FootnoteText"/>
      </w:pPr>
      <w:r>
        <w:rPr>
          <w:rStyle w:val="FootnoteReference"/>
        </w:rPr>
        <w:footnoteRef/>
      </w:r>
      <w:r>
        <w:t xml:space="preserve"> </w:t>
      </w:r>
      <w:r>
        <w:t xml:space="preserve">To be clear: my aim was not to evaluate interviewees’ status as ‘ethical’ or ‘unethical’ people; but instead, to describe how they evaluated themselves and thought they should live as a result.</w:t>
      </w:r>
    </w:p>
  </w:footnote>
  <w:footnote w:id="16">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 ‘Very early’ = up to one-sixth of the tariff served at the point of participation; ‘Early’ = between one-sixth and one-third of the tariff served; ‘Mid’ = between one-third and two-thirds of the tariff served; ‘Late’ = between two-thirds and the entire tariff served.</w:t>
      </w:r>
    </w:p>
  </w:footnote>
  <w:footnote w:id="18">
    <w:p>
      <w:pPr>
        <w:pStyle w:val="FootnoteText"/>
      </w:pPr>
      <w:r>
        <w:rPr>
          <w:rStyle w:val="FootnoteReference"/>
        </w:rPr>
        <w:footnoteRef/>
      </w:r>
      <w:r>
        <w:t xml:space="preserve"> </w:t>
      </w:r>
      <w:r>
        <w:t xml:space="preserve">“Entry shock”: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19">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20">
    <w:p>
      <w:pPr>
        <w:pStyle w:val="FootnoteText"/>
      </w:pPr>
      <w:r>
        <w:rPr>
          <w:rStyle w:val="FootnoteReference"/>
        </w:rPr>
        <w:footnoteRef/>
      </w:r>
      <w:r>
        <w:t xml:space="preserve"> </w:t>
      </w:r>
      <w:r>
        <w:t xml:space="preserve">All participants quoted pseudonymously.</w:t>
      </w:r>
    </w:p>
  </w:footnote>
  <w:footnote w:id="21">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24">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25">
    <w:p>
      <w:pPr>
        <w:pStyle w:val="FootnoteText"/>
      </w:pPr>
      <w:r>
        <w:rPr>
          <w:rStyle w:val="FootnoteReference"/>
        </w:rPr>
        <w:footnoteRef/>
      </w:r>
      <w:r>
        <w:t xml:space="preserve"> </w:t>
      </w:r>
      <w:r>
        <w:t xml:space="preserve">This is likely a result of the gravity of the index offence (murder).</w:t>
      </w:r>
    </w:p>
  </w:footnote>
  <w:footnote w:id="26">
    <w:p>
      <w:pPr>
        <w:pStyle w:val="FootnoteText"/>
      </w:pPr>
      <w:r>
        <w:rPr>
          <w:rStyle w:val="FootnoteReference"/>
        </w:rPr>
        <w:footnoteRef/>
      </w:r>
      <w:r>
        <w:t xml:space="preserve"> </w:t>
      </w:r>
      <w:r>
        <w:t xml:space="preserve">Culpable: ‘guilty,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27">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30">
    <w:p>
      <w:pPr>
        <w:pStyle w:val="FootnoteText"/>
      </w:pPr>
      <w:r>
        <w:rPr>
          <w:rStyle w:val="FootnoteReference"/>
        </w:rPr>
        <w:footnoteRef/>
      </w:r>
      <w:r>
        <w:t xml:space="preserve"> </w:t>
      </w:r>
      <w:r>
        <w:t xml:space="preserve">‘Tightness’ 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2026-04-10T21:18:48Z</dcterms:created>
  <dcterms:modified xsi:type="dcterms:W3CDTF">2026-04-10T21:18:48Z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lot">
    <vt:lpwstr>True</vt:lpwstr>
  </property>
  <property fmtid="{D5CDD505-2E9C-101B-9397-08002B2CF9AE}" pid="29" name="numbersections">
    <vt:lpwstr>False</vt:lpwstr>
  </property>
  <property fmtid="{D5CDD505-2E9C-101B-9397-08002B2CF9AE}" pid="30" name="subtitle">
    <vt:lpwstr>Adaptation, risk, and reform later in the life course</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https://www.crimeandjustice.org.uk/sites/crimeandjustice.org.uk/files/PSJ%20261%2C%20Mature%20adulthood.pdf</vt:lpwstr>
  </property>
</Properties>
</file>