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11" w:name="availability"/>
    <w:p>
      <w:pPr>
        <w:pStyle w:val="Heading1"/>
      </w:pPr>
      <w:r>
        <w:t xml:space="preserve">Availability</w:t>
      </w:r>
    </w:p>
    <w:p>
      <w:pPr>
        <w:pStyle w:val="FirstParagraph"/>
      </w:pPr>
      <w:r>
        <w:t xml:space="preserve">Published Open Access. Version of record available via</w:t>
      </w:r>
      <w:r>
        <w:t xml:space="preserve"> </w:t>
      </w:r>
      <w:hyperlink r:id="rId9">
        <w:r>
          <w:rPr>
            <w:rStyle w:val="Hyperlink"/>
          </w:rPr>
          <w:t xml:space="preserve">https://www.mdpi.com/2075-4698/9/2/27</w:t>
        </w:r>
      </w:hyperlink>
      <w:r>
        <w:t xml:space="preserve">. Slides from a public presentation based on this article can be found via</w:t>
      </w:r>
      <w:r>
        <w:t xml:space="preserve"> </w:t>
      </w:r>
      <w:hyperlink r:id="rId10">
        <w:r>
          <w:rPr>
            <w:rStyle w:val="Hyperlink"/>
          </w:rPr>
          <w:t xml:space="preserve">https://www.repository.cam.ac.uk/handle/1810/300721</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2026-04-10T21:19:11Z</dcterms:created>
  <dcterms:modified xsi:type="dcterms:W3CDTF">2026-04-10T21:19:11Z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State’s Disavowal of Child Abuse Victims in Youth Custody, 1960–1990</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https://www.mdpi.com/2075-4698/9/2/27</vt:lpwstr>
  </property>
</Properties>
</file>