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14" w:name="availability"/>
    <w:p>
      <w:pPr>
        <w:pStyle w:val="Heading1"/>
      </w:pPr>
      <w:r>
        <w:t xml:space="preserve">Availability</w:t>
      </w:r>
    </w:p>
    <w:p>
      <w:pPr>
        <w:pStyle w:val="FirstParagraph"/>
      </w:pPr>
      <w:r>
        <w:t xml:space="preserve">Available via</w:t>
      </w:r>
      <w:r>
        <w:t xml:space="preserve"> </w:t>
      </w:r>
      <w:hyperlink r:id="rId9">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13">
              <w:r>
                <w:rPr>
                  <w:rStyle w:val="Hyperlink"/>
                </w:rPr>
                <w:t xml:space="preserve">https://www.repository.cam.ac.uk/handle/1810/291515</w:t>
              </w:r>
            </w:hyperlink>
            <w:r>
              <w:t xml:space="preserve">.</w:t>
            </w:r>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2026-04-10T21:19:29Z</dcterms:created>
  <dcterms:modified xsi:type="dcterms:W3CDTF">2026-04-10T21:19:29Z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Identity, desistance and the experience of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https://www.repository.cam.ac.uk/handle/1810/286064</vt:lpwstr>
  </property>
</Properties>
</file>