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are you in for?”</w:t>
      </w:r>
    </w:p>
    <w:p>
      <w:pPr>
        <w:pStyle w:val="Subtitle"/>
      </w:pPr>
      <w:r>
        <w:t xml:space="preserve">The neglected role of the offence in prison sociology</w:t>
      </w:r>
    </w:p>
    <w:p>
      <w:pPr>
        <w:pStyle w:val="Author"/>
      </w:pPr>
      <w:r>
        <w:t xml:space="preserve">Ben Jarman</w:t>
      </w:r>
    </w:p>
    <w:p>
      <w:pPr>
        <w:pStyle w:val="Date"/>
      </w:pPr>
      <w:r>
        <w:t xml:space="preserve">2026-04-10</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done—is irrelevant to the internal dynamics of prisons as institutions. Classic sociological texts treated prisons as analogous to other organisations, overlooking their punitive role (by which we mean their use as an intentionally denunciatory and pain-inflicting response to legally determined criminal wrongdoing). Most obviously,</w:t>
      </w:r>
      <w:r>
        <w:t xml:space="preserve"> </w:t>
      </w:r>
      <w:r>
        <w:rPr>
          <w:i/>
          <w:iCs/>
        </w:rPr>
        <w:t xml:space="preserve">Asylums</w:t>
      </w:r>
      <w:r>
        <w:t xml:space="preserve"> </w:t>
      </w:r>
      <w:r>
        <w:t xml:space="preserve">(</w:t>
      </w:r>
      <w:hyperlink w:anchor="ref-goffmanAsylumsEssaysSocial1961">
        <w:r>
          <w:rPr>
            <w:rStyle w:val="Hyperlink"/>
          </w:rPr>
          <w:t xml:space="preserve">Goffman 1990</w:t>
        </w:r>
      </w:hyperlink>
      <w:r>
        <w:t xml:space="preserve">)</w:t>
      </w:r>
      <w:r>
        <w:t xml:space="preserve"> </w:t>
      </w:r>
      <w:r>
        <w:t xml:space="preserve">bundled them with monasteries, boarding schools and military barracks as “total institutions”.</w:t>
      </w:r>
      <w:r>
        <w:t xml:space="preserve"> </w:t>
      </w:r>
      <w:r>
        <w:rPr>
          <w:i/>
          <w:iCs/>
        </w:rPr>
        <w:t xml:space="preserve">The Society of Captives</w:t>
      </w:r>
      <w:r>
        <w:t xml:space="preserve"> </w:t>
      </w:r>
      <w:r>
        <w:t xml:space="preserve">likewise saw prisons as systems for</w:t>
      </w:r>
      <w:r>
        <w:t xml:space="preserve"> </w:t>
      </w:r>
      <w:r>
        <w:t xml:space="preserve">“total or almost total social control”</w:t>
      </w:r>
      <w:r>
        <w:t xml:space="preserve"> </w:t>
      </w:r>
      <w:r>
        <w:t xml:space="preserve">(</w:t>
      </w:r>
      <w:hyperlink w:anchor="ref-sykesSocietyCaptivesStudy1958">
        <w:r>
          <w:rPr>
            <w:rStyle w:val="Hyperlink"/>
          </w:rPr>
          <w:t xml:space="preserve">Sykes 1958 p. xiv</w:t>
        </w:r>
      </w:hyperlink>
      <w:r>
        <w:t xml:space="preserve">)</w:t>
      </w:r>
      <w:r>
        <w:t xml:space="preserve">, drawing parallels with concentration camps and gulags which were apt at the time, but which bracket off the prison’s task</w:t>
      </w:r>
      <w:r>
        <w:t xml:space="preserve"> </w:t>
      </w:r>
      <w:r>
        <w:rPr>
          <w:i/>
          <w:iCs/>
        </w:rPr>
        <w:t xml:space="preserve">as a site of punishment</w:t>
      </w:r>
      <w:r>
        <w:t xml:space="preserve"> </w:t>
      </w:r>
      <w:r>
        <w:t xml:space="preserve">from the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w:t>
      </w:r>
      <w:r>
        <w:t xml:space="preserve">In these studies, the prison is presented generically, not as an institution whose purpose and culture relates distinctively to the reasons people are confined there.</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2008</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unifying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offences were once central to how prisons were designed and how they functioned. In recent decades, however, discourses of penal administration have shifted, obscuring the offence’s relevance. In many Anglophone jurisdictions, at least,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Prison management has been framed as a technical and generic task, rather than one with particular normative implications, as if imprisonment has</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w:t>
      </w:r>
      <w:r>
        <w:t xml:space="preserve">and exploring the forms of power that prisons impose, the values by which they operate, and the ways prisoners are treated as moral agents. Such work contributes to broader debates about whether, given the highly unequal distribution of power within prisons, imprisonment is morally defensible. Fewer works address the other dimension distinguishing imprisonment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it is imposed upon people in response to legal and moral breaches that hold meaning for them, and which can animate how the prison operates on them.</w:t>
      </w:r>
    </w:p>
    <w:p>
      <w:pPr>
        <w:pStyle w:val="BodyText"/>
      </w:pPr>
      <w:r>
        <w:t xml:space="preserve">We aim to develop this branch of thinking. We agree with Sparks that justifications for punishment must be compelling, and should take account of what imprisonment is like empirically—that is, what prisons do and how they are experienced. But we expand the frame to place the offence alongside power and order, since all three are intertwined in the act, imposition and experience of imprisonment. This makes empirical accounts more descriptively faithful and strengthens theorisation, enabling fuller participation in debates about imprisonment’s purposes.</w:t>
      </w:r>
    </w:p>
    <w:p>
      <w:pPr>
        <w:pStyle w:val="BodyText"/>
      </w:pPr>
      <w:r>
        <w:t xml:space="preserve">We begin by examining how the offence has featured in prison scholarship—initially as a blunt or latent classificatory variable, but increasingly as something of institutional, social or subjective importance. We consider why researchers have tended not to ask prisoners about the meaning of their offence, nor to centre it analytically. Using three case studies, we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9"/>
    <w:bookmarkStart w:id="10"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their single shared characteristic. This characterisation largely holds true for the sociology of imprisonment. We suggest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Both examples theorised adaptative styles via categories derived from conviction types and criminal orientations; neither explored how individuals thus categorised reflected upon the meanings of their convictions. A similar approach persisted later, where scholars concerned with prison order continued to feature the offence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Some exceptions to this pattern exist, most prominently in relation to the moral distinctions made about prisoners convicted of sexual offences, including their low status within prisoner hierarchies</w:t>
      </w:r>
      <w:r>
        <w:t xml:space="preserve"> </w:t>
      </w:r>
      <w:r>
        <w:t xml:space="preserve">(</w:t>
      </w:r>
      <w:hyperlink w:anchor="ref-cohenPsychologicalSurvival1981">
        <w:r>
          <w:rPr>
            <w:rStyle w:val="Hyperlink"/>
          </w:rPr>
          <w:t xml:space="preserve">Cohen &amp; Taylor 1981/1972</w:t>
        </w:r>
      </w:hyperlink>
      <w:r>
        <w:t xml:space="preserve">)</w:t>
      </w:r>
      <w:r>
        <w:t xml:space="preserve">, their subjection to intensified staff control</w:t>
      </w:r>
      <w:r>
        <w:t xml:space="preserve"> </w:t>
      </w:r>
      <w:r>
        <w:t xml:space="preserve">(</w:t>
      </w:r>
      <w:hyperlink w:anchor="ref-sparksPrisonsProblemOrder1996">
        <w:r>
          <w:rPr>
            <w:rStyle w:val="Hyperlink"/>
          </w:rPr>
          <w:t xml:space="preserve">Sparks 1996</w:t>
        </w:r>
      </w:hyperlink>
      <w:r>
        <w:t xml:space="preserve">)</w:t>
      </w:r>
      <w:r>
        <w:t xml:space="preserve">, and their increased isolation, guilt and shame</w:t>
      </w:r>
      <w:r>
        <w:t xml:space="preserve"> </w:t>
      </w:r>
      <w:r>
        <w:t xml:space="preserve">(</w:t>
      </w:r>
      <w:hyperlink w:anchor="Xae8f9a76eb5fe7fb36b08ee73fcba34cbb6beb5">
        <w:r>
          <w:rPr>
            <w:rStyle w:val="Hyperlink"/>
          </w:rPr>
          <w:t xml:space="preserve">Sapsford 1979</w:t>
        </w:r>
      </w:hyperlink>
      <w:r>
        <w:t xml:space="preserve">)</w:t>
      </w:r>
      <w:r>
        <w:t xml:space="preserve">. Mathiesen</w:t>
      </w:r>
      <w:r>
        <w:t xml:space="preserve"> </w:t>
      </w:r>
      <w:r>
        <w:t xml:space="preserve">(</w:t>
      </w:r>
      <w:hyperlink w:anchor="Xb5721ec5c9938b01fc4c1e0bbcd2eff661feac8">
        <w:r>
          <w:rPr>
            <w:rStyle w:val="Hyperlink"/>
          </w:rPr>
          <w:t xml:space="preserve">1965</w:t>
        </w:r>
      </w:hyperlink>
      <w:r>
        <w:t xml:space="preserve">)</w:t>
      </w:r>
      <w:r>
        <w:t xml:space="preserve"> </w:t>
      </w:r>
      <w:r>
        <w:t xml:space="preserve">suggested that such prisoners defended their moral status by engaging in</w:t>
      </w:r>
      <w:r>
        <w:t xml:space="preserve"> </w:t>
      </w:r>
      <w:r>
        <w:t xml:space="preserve">“censorious”</w:t>
      </w:r>
      <w:r>
        <w:t xml:space="preserve"> </w:t>
      </w:r>
      <w:r>
        <w:t xml:space="preserve">critique of prison staff. Meanwhile,</w:t>
      </w:r>
      <w:r>
        <w:t xml:space="preserve"> </w:t>
      </w:r>
      <w:r>
        <w:rPr>
          <w:i/>
          <w:iCs/>
        </w:rPr>
        <w:t xml:space="preserve">Psychological Survival</w:t>
      </w:r>
      <w:r>
        <w:t xml:space="preserve"> </w:t>
      </w:r>
      <w:r>
        <w:t xml:space="preserve">(</w:t>
      </w:r>
      <w:hyperlink w:anchor="ref-cohenPsychologicalSurvival1981">
        <w:r>
          <w:rPr>
            <w:rStyle w:val="Hyperlink"/>
          </w:rPr>
          <w:t xml:space="preserve">Cohen &amp; Taylor 1981/1972</w:t>
        </w:r>
      </w:hyperlink>
      <w:r>
        <w:t xml:space="preserve">)</w:t>
      </w:r>
      <w:r>
        <w:t xml:space="preserve"> </w:t>
      </w:r>
      <w:r>
        <w:t xml:space="preserve">addressed guilt and shame only in relation to sex offenders (who it classified as</w:t>
      </w:r>
      <w:r>
        <w:t xml:space="preserve"> </w:t>
      </w:r>
      <w:r>
        <w:t xml:space="preserve">‘sinners’</w:t>
      </w:r>
      <w:r>
        <w:t xml:space="preserve">). Yet a re-analysis of their archived materials uncovered these emotions among all the Durham prisoners, who felt safe to surface these emotions in Cohen and Taylor’s classroom</w:t>
      </w:r>
      <w:r>
        <w:t xml:space="preserve"> </w:t>
      </w:r>
      <w:r>
        <w:t xml:space="preserve">“without worrying about being evaluated”</w:t>
      </w:r>
      <w:r>
        <w:t xml:space="preserve"> </w:t>
      </w:r>
      <w:r>
        <w:t xml:space="preserve">by prison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though, researchers have increasingly recognised the offence’s influence over how prisoners experience punishment, understand themselves, and engage in ethical self-formation. This shift partly mirrors the changing character of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2020</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2007</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researchers have become more interested in responsibility and ethical status—that is, in the transmission and reception of censure. Irwin</w:t>
      </w:r>
      <w:r>
        <w:t xml:space="preserve"> </w:t>
      </w:r>
      <w:r>
        <w:t xml:space="preserve">(</w:t>
      </w:r>
      <w:hyperlink w:anchor="ref-irwinLifersSeekingRedemption2009">
        <w:r>
          <w:rPr>
            <w:rStyle w:val="Hyperlink"/>
          </w:rPr>
          <w:t xml:space="preserve">2008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(cf.</w:t>
      </w:r>
      <w:r>
        <w:t xml:space="preserve"> </w:t>
      </w:r>
      <w:hyperlink w:anchor="X376f4432f0a458a8ef978d63ff7e061be0d74ef">
        <w:r>
          <w:rPr>
            <w:rStyle w:val="Hyperlink"/>
          </w:rPr>
          <w:t xml:space="preserve">Schinkel 2014</w:t>
        </w:r>
      </w:hyperlink>
      <w:r>
        <w:t xml:space="preserve">;</w:t>
      </w:r>
      <w:r>
        <w:t xml:space="preserve"> </w:t>
      </w:r>
      <w:hyperlink w:anchor="ref-herbertTooEasyKeep2019">
        <w:r>
          <w:rPr>
            <w:rStyle w:val="Hyperlink"/>
          </w:rPr>
          <w:t xml:space="preserve">Herbert 2019</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and to assert masculine legitimacy in the face of discrediting convictions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 Ievins and Crewe</w:t>
      </w:r>
      <w:r>
        <w:t xml:space="preserve"> </w:t>
      </w:r>
      <w:r>
        <w:t xml:space="preserve">(</w:t>
      </w:r>
      <w:hyperlink w:anchor="ref-ievinsNobodysBetterYou2015">
        <w:r>
          <w:rPr>
            <w:rStyle w:val="Hyperlink"/>
          </w:rPr>
          <w:t xml:space="preserve">2015</w:t>
        </w:r>
      </w:hyperlink>
      <w:r>
        <w:t xml:space="preserve">)</w:t>
      </w:r>
      <w:r>
        <w:t xml:space="preserve"> </w:t>
      </w:r>
      <w:r>
        <w:t xml:space="preserve">also 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Murders in different circumstances carry varying implications for a subject’s felt culpability, while sentences imposed at different ages impact life trajectories and personal narratives differently</w:t>
      </w:r>
      <w:r>
        <w:t xml:space="preserve"> </w:t>
      </w:r>
      <w:r>
        <w:t xml:space="preserve">(</w:t>
      </w:r>
      <w:hyperlink w:anchor="ref-jarmanMoralMessagesEthical2024">
        <w:r>
          <w:rPr>
            <w:rStyle w:val="Hyperlink"/>
          </w:rPr>
          <w:t xml:space="preserve">Jarman 2024</w:t>
        </w:r>
      </w:hyperlink>
      <w:r>
        <w:t xml:space="preserve">)</w:t>
      </w:r>
      <w:r>
        <w:t xml:space="preserve">. These examples focus on lengthy sentences and serious offences, but repeated short sentences also prompt reflections on lives blighted by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moral communication. Ievins</w:t>
      </w:r>
      <w:r>
        <w:t xml:space="preserve"> </w:t>
      </w:r>
      <w:r>
        <w:t xml:space="preserve">(</w:t>
      </w:r>
      <w:hyperlink w:anchor="ref-ievinsStainsImprisonmentMoral2023">
        <w:r>
          <w:rPr>
            <w:rStyle w:val="Hyperlink"/>
          </w:rPr>
          <w:t xml:space="preserve">2023</w:t>
        </w:r>
      </w:hyperlink>
      <w:r>
        <w:t xml:space="preserve">)</w:t>
      </w:r>
      <w:r>
        <w:t xml:space="preserve"> </w:t>
      </w:r>
      <w:r>
        <w:t xml:space="preserve">demonstrates how prisons</w:t>
      </w:r>
      <w:r>
        <w:t xml:space="preserve"> </w:t>
      </w:r>
      <w:r>
        <w:t xml:space="preserve">‘stain’</w:t>
      </w:r>
      <w:r>
        <w:t xml:space="preserve"> </w:t>
      </w:r>
      <w:r>
        <w:t xml:space="preserve">their inhabitants, censuring formally via interventions and risk assessments, and informally via spatial segregation, distinctive treatment regimes, and everyday interactions which mark certain people as morally distinct. The resulting censure is often oblique and inconsistent, with prisoners’ interpretations of it diverging from institutional intentions. Similarly, Schinkel</w:t>
      </w:r>
      <w:r>
        <w:t xml:space="preserve"> </w:t>
      </w:r>
      <w:r>
        <w:t xml:space="preserve">(</w:t>
      </w:r>
      <w:hyperlink w:anchor="X376f4432f0a458a8ef978d63ff7e061be0d74ef">
        <w:r>
          <w:rPr>
            <w:rStyle w:val="Hyperlink"/>
          </w:rPr>
          <w:t xml:space="preserve">2014</w:t>
        </w:r>
      </w:hyperlink>
      <w:r>
        <w:t xml:space="preserve">)</w:t>
      </w:r>
      <w:r>
        <w:t xml:space="preserve"> </w:t>
      </w:r>
      <w:r>
        <w:t xml:space="preserve">argues that prisoners often do not receive the censure intended by sentencers: the medium of imprisonment distorts the censuring message.</w:t>
      </w:r>
    </w:p>
    <w:p>
      <w:pPr>
        <w:pStyle w:val="BodyText"/>
      </w:pPr>
      <w:r>
        <w:t xml:space="preserve">Recent research has also characterised participants’ attitudes to their (often serious) offending. Crewe, Hulley, and Wright</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found their offence</w:t>
      </w:r>
      <w:r>
        <w:t xml:space="preserve"> </w:t>
      </w:r>
      <w:r>
        <w:t xml:space="preserve">“unambiguously shameful”</w:t>
      </w:r>
      <w:r>
        <w:t xml:space="preserve">, affecting their institutional adaptations and social relations throughout their sentences.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has questioned whether moral reflection inevitably produces remorse, or expressions of responsibility have any stable meaning. Elsewhere</w:t>
      </w:r>
      <w:r>
        <w:t xml:space="preserve"> </w:t>
      </w:r>
      <w:r>
        <w:t xml:space="preserve">(e.g.</w:t>
      </w:r>
      <w:r>
        <w:t xml:space="preserve"> </w:t>
      </w:r>
      <w:hyperlink w:anchor="ref-creweTightnessRecognitionPenal2021">
        <w:r>
          <w:rPr>
            <w:rStyle w:val="Hyperlink"/>
          </w:rPr>
          <w:t xml:space="preserve">Crewe &amp; Ievins 2020</w:t>
        </w:r>
      </w:hyperlink>
      <w:r>
        <w:t xml:space="preserve">;</w:t>
      </w:r>
      <w:r>
        <w:t xml:space="preserve"> </w:t>
      </w:r>
      <w:hyperlink w:anchor="ref-daganRevisitingJusticeMoral2025">
        <w:r>
          <w:rPr>
            <w:rStyle w:val="Hyperlink"/>
          </w:rPr>
          <w:t xml:space="preserve">Dagan 2025</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informal messages by staff, have also been analysed</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reminding us that censure can be informal and unofficial. It appears that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2008</w:t>
        </w:r>
      </w:hyperlink>
      <w:r>
        <w:t xml:space="preserve">)</w:t>
      </w:r>
      <w:r>
        <w:t xml:space="preserve">, and is often catalysed when a life after prison becomes imaginable, at which point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2021</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used to signify types of people, but seldom analysed either as a moral category, or as an act holding ethical significance for those categorised by it. Recently, though, attention has shifted to the</w:t>
      </w:r>
      <w:r>
        <w:t xml:space="preserve"> </w:t>
      </w:r>
      <w:r>
        <w:rPr>
          <w:i/>
          <w:iCs/>
        </w:rPr>
        <w:t xml:space="preserve">subjective meanings</w:t>
      </w:r>
      <w:r>
        <w:t xml:space="preserve"> </w:t>
      </w:r>
      <w:r>
        <w:t xml:space="preserve">of legal labels—how it feels to be held responsible and how this shapes prison experience.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In most countries, imprisonment is the archetypal form of punishment, and prisons treat reflection on and</w:t>
      </w:r>
      <w:r>
        <w:t xml:space="preserve"> </w:t>
      </w:r>
      <w:r>
        <w:t xml:space="preserve">‘insight’</w:t>
      </w:r>
      <w:r>
        <w:t xml:space="preserve"> </w:t>
      </w:r>
      <w:r>
        <w:t xml:space="preserve">into the offence as a desirable response</w:t>
      </w:r>
      <w:r>
        <w:t xml:space="preserve"> </w:t>
      </w:r>
      <w:r>
        <w:t xml:space="preserve">(e.g.</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paratoreInsightLifeCrimes2016">
        <w:r>
          <w:rPr>
            <w:rStyle w:val="Hyperlink"/>
          </w:rPr>
          <w:t xml:space="preserve">Paratore 2016</w:t>
        </w:r>
      </w:hyperlink>
      <w:r>
        <w:t xml:space="preserve">;</w:t>
      </w:r>
      <w:r>
        <w:t xml:space="preserve"> </w:t>
      </w:r>
      <w:hyperlink w:anchor="ref-shammasPerilsParoleHearings2019">
        <w:r>
          <w:rPr>
            <w:rStyle w:val="Hyperlink"/>
          </w:rPr>
          <w:t xml:space="preserve">Shammas 2019</w:t>
        </w:r>
      </w:hyperlink>
      <w:r>
        <w:t xml:space="preserve">)</w:t>
      </w:r>
      <w:r>
        <w:t xml:space="preserve">. Thus, a shift towards questions of purpose is an important step, since the</w:t>
      </w:r>
      <w:r>
        <w:t xml:space="preserve"> </w:t>
      </w:r>
      <w:r>
        <w:rPr>
          <w:i/>
          <w:iCs/>
        </w:rPr>
        <w:t xml:space="preserve">kinds</w:t>
      </w:r>
      <w:r>
        <w:t xml:space="preserve"> </w:t>
      </w:r>
      <w:r>
        <w:t xml:space="preserve">of insight which might be expected will vary. Communicative theories of retributive punishment</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10"/>
    <w:bookmarkStart w:id="13"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convention among prison researchers</w:t>
      </w:r>
      <w:r>
        <w:rPr>
          <w:rStyle w:val="FootnoteReference"/>
        </w:rPr>
        <w:footnoteReference w:id="11"/>
      </w:r>
      <w:r>
        <w:t xml:space="preserve"> </w:t>
      </w:r>
      <w:r>
        <w:t xml:space="preserve">holds it inappropriate to ask an incarcerated person directly for details of their offence.</w:t>
      </w:r>
      <w:r>
        <w:rPr>
          <w:rStyle w:val="FootnoteReference"/>
        </w:rPr>
        <w:footnoteReference w:id="12"/>
      </w:r>
      <w:r>
        <w:t xml:space="preserve"> </w:t>
      </w:r>
      <w:r>
        <w:t xml:space="preserve">This norm is framed primarily as an ethical imperative. Asking people</w:t>
      </w:r>
      <w:r>
        <w:t xml:space="preserve"> </w:t>
      </w:r>
      <w:r>
        <w:t xml:space="preserve">“what they are in for”</w:t>
      </w:r>
      <w:r>
        <w:t xml:space="preserv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censure prisoners as</w:t>
      </w:r>
      <w:r>
        <w:t xml:space="preserve"> </w:t>
      </w:r>
      <w:r>
        <w:rPr>
          <w:i/>
          <w:iCs/>
        </w:rPr>
        <w:t xml:space="preserve">bad people</w:t>
      </w:r>
      <w:r>
        <w:t xml:space="preserve">, prison researchers have tended to swerve or reject such judgments. This might reflect ideological or political commitment, as where critical scholars direct judgment towards the carceral institution rather than incarcerated people. More often, however, the norm seems likely to have been transmitted via methodological training and supervision, embedding itself in disciplinary practice regardless of individual orientations.</w:t>
      </w:r>
    </w:p>
    <w:p>
      <w:pPr>
        <w:pStyle w:val="BodyText"/>
      </w:pPr>
      <w:r>
        <w:t xml:space="preserve">A tendency not to inquire about the offence also reflects the longstanding disciplinary parameters of prison sociology. While normative issues play important if varied roles in penal theory, prison sociology has tended to see them as irrelevant</w:t>
      </w:r>
      <w:r>
        <w:t xml:space="preserve"> </w:t>
      </w:r>
      <w:r>
        <w:t xml:space="preserve">(though see</w:t>
      </w:r>
      <w:r>
        <w:t xml:space="preserve"> </w:t>
      </w:r>
      <w:hyperlink w:anchor="X376f4432f0a458a8ef978d63ff7e061be0d74ef">
        <w:r>
          <w:rPr>
            <w:rStyle w:val="Hyperlink"/>
          </w:rPr>
          <w:t xml:space="preserve">Schinkel 2014</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t>
      </w:r>
      <w:r>
        <w:t xml:space="preserve">have seemed somewhat immaterial to core topics of investigation. When researchers study prisoner social relations or penal order, it can appear digressive to discuss prisoners’ thoughts on whether the penalty fits their crime, or their internal battles to maintain a respectable self-image.</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(e.g.</w:t>
      </w:r>
      <w:r>
        <w:t xml:space="preserve"> </w:t>
      </w:r>
      <w:hyperlink w:anchor="ref-jacobsStatevillePenitentiaryMass1977">
        <w:r>
          <w:rPr>
            <w:rStyle w:val="Hyperlink"/>
          </w:rPr>
          <w:t xml:space="preserve">Jacobs 1977</w:t>
        </w:r>
      </w:hyperlink>
      <w:r>
        <w:t xml:space="preserve">;</w:t>
      </w:r>
      <w:r>
        <w:t xml:space="preserve"> </w:t>
      </w:r>
      <w:hyperlink w:anchor="Xb5721ec5c9938b01fc4c1e0bbcd2eff661feac8">
        <w:r>
          <w:rPr>
            <w:rStyle w:val="Hyperlink"/>
          </w:rPr>
          <w:t xml:space="preserve">Mathiesen 1965</w:t>
        </w:r>
      </w:hyperlink>
      <w:r>
        <w:t xml:space="preserve">)</w:t>
      </w:r>
      <w:r>
        <w:t xml:space="preserve"> </w:t>
      </w:r>
      <w:r>
        <w:t xml:space="preserve">theorised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miss quieter occurrences in more private spaces. Cells, where prisoners spend much of their time, afford headspace for reflection. The offence may be more present there, but methodologically the cell is less accessible. Contemplation and rumination there leave fewer obvious traces in social life.</w:t>
      </w:r>
    </w:p>
    <w:p>
      <w:pPr>
        <w:pStyle w:val="BodyText"/>
      </w:pPr>
      <w:r>
        <w:t xml:space="preserve">Nonetheless, our conjecture is that many prison scholars hear reflections on the implications of prisoners’ offences and convictions but exclude these from their accounts. We find it hard to imagine that anyone interviewing people convicted of serious offences has not been presented with narratives featuring moral emotions like regret, indignation, or defiance; or that those with less serious convictions have not sometimes narrated how and why they landed in their current circumstances, for example by burgling houses or dealing drugs. If violence and other crimes are communicative, then not enquiring about them means ignoring what they attempted to express. To deflect discussion of the offence might be as disrespectful as to probe too deeply.</w:t>
      </w:r>
    </w:p>
    <w:p>
      <w:pPr>
        <w:pStyle w:val="BodyText"/>
      </w:pPr>
      <w:r>
        <w:t xml:space="preserve">How should the well-documented tendency to minimise and neutralise</w:t>
      </w:r>
      <w:r>
        <w:t xml:space="preserve"> </w:t>
      </w:r>
      <w:r>
        <w:t xml:space="preserve">(</w:t>
      </w:r>
      <w:hyperlink w:anchor="X49f9d481cf94d0893662ed622409211b7aecca0">
        <w:r>
          <w:rPr>
            <w:rStyle w:val="Hyperlink"/>
          </w:rPr>
          <w:t xml:space="preserve">Sykes &amp; Matza 1957</w:t>
        </w:r>
      </w:hyperlink>
      <w:r>
        <w:t xml:space="preserve">)</w:t>
      </w:r>
      <w:r>
        <w:t xml:space="preserve"> </w:t>
      </w:r>
      <w:r>
        <w:t xml:space="preserve">affect our interpretation of these accounts? Simply to discredit them as self-serving lies is to misunderstand them. Evaluating narratives purely by their fidelity to the</w:t>
      </w:r>
      <w:r>
        <w:t xml:space="preserve"> </w:t>
      </w:r>
      <w:r>
        <w:t xml:space="preserve">‘established facts of the case’</w:t>
      </w:r>
      <w:r>
        <w:t xml:space="preserve"> </w:t>
      </w:r>
      <w:r>
        <w:t xml:space="preserve">unduly privileges the conviction as a complete and authoritative record, while overlooking its significance for the narrator’s current situation. Both desistance scholarship</w:t>
      </w:r>
      <w:r>
        <w:t xml:space="preserve"> </w:t>
      </w:r>
      <w:r>
        <w:t xml:space="preserve">(</w:t>
      </w:r>
      <w:hyperlink w:anchor="ref-marunaWhatHaveWe2005">
        <w:r>
          <w:rPr>
            <w:rStyle w:val="Hyperlink"/>
          </w:rPr>
          <w:t xml:space="preserve">Maruna &amp; Copes 2005</w:t>
        </w:r>
      </w:hyperlink>
      <w:r>
        <w:t xml:space="preserve">)</w:t>
      </w:r>
      <w:r>
        <w:t xml:space="preserve"> </w:t>
      </w:r>
      <w:r>
        <w:t xml:space="preserve">and narrative criminology</w:t>
      </w:r>
      <w:r>
        <w:t xml:space="preserve"> </w:t>
      </w:r>
      <w:r>
        <w:t xml:space="preserve">(</w:t>
      </w:r>
      <w:hyperlink w:anchor="ref-ugelvikPrisonersTheirVictims2012">
        <w:r>
          <w:rPr>
            <w:rStyle w:val="Hyperlink"/>
          </w:rPr>
          <w:t xml:space="preserve">Ugelvik 2012</w:t>
        </w:r>
      </w:hyperlink>
      <w:r>
        <w:t xml:space="preserve">)</w:t>
      </w:r>
      <w:r>
        <w:t xml:space="preserve"> </w:t>
      </w:r>
      <w:r>
        <w:t xml:space="preserve">recognise that distinguishing between narratives and</w:t>
      </w:r>
      <w:r>
        <w:t xml:space="preserve"> </w:t>
      </w:r>
      <w:r>
        <w:t xml:space="preserve">‘the truth’</w:t>
      </w:r>
      <w:r>
        <w:t xml:space="preserve"> </w:t>
      </w:r>
      <w:r>
        <w:t xml:space="preserve">is neither straightforward nor necessarily conducive to understanding. Instead, they should be examined for what they reveal about prisons and punishment. Offence narratives can be understood as moral sense-making: preserving self-worth, making sense of the past, and navigating censure.</w:t>
      </w:r>
    </w:p>
    <w:p>
      <w:pPr>
        <w:pStyle w:val="BodyText"/>
      </w:pPr>
      <w:r>
        <w:t xml:space="preserve">Our case studies come from projects which involved lengthy interviews, some over multiple sessions or following a sustained presence in the prison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While they focused directly on the offence to differing degrees, all three projects employed semi-structured interviews that allowed participants to narrate their experiences of imprisonment and relationship to their convictions. All three asked some questions about the offence and/or conviction, and how these impacted people’s sense of self, the prison’s social world, and the extent to which they were a target of power.</w:t>
      </w:r>
    </w:p>
    <w:p>
      <w:pPr>
        <w:pStyle w:val="BodyText"/>
      </w:pPr>
      <w:r>
        <w:t xml:space="preserve">We all felt that participants’ willingness to discuss these matters required us to avoid displaying the shock or revulsion some seemed to anticipate. Existing publications on the ethical considerations involved in interviewing people convicted of serious (and particularly sexual) crimes often focuses on the opposite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research investigates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creweClosenessDistanceHonesty2015">
        <w:r>
          <w:rPr>
            <w:rStyle w:val="Hyperlink"/>
          </w:rPr>
          <w:t xml:space="preserve">Crewe &amp; Ievins 2015</w:t>
        </w:r>
      </w:hyperlink>
      <w:r>
        <w:t xml:space="preserve">;</w:t>
      </w:r>
      <w:r>
        <w:t xml:space="preserve"> </w:t>
      </w:r>
      <w:hyperlink w:anchor="ref-malcolmJournalistMurderer1990">
        <w:r>
          <w:rPr>
            <w:rStyle w:val="Hyperlink"/>
          </w:rPr>
          <w:t xml:space="preserve">Malcolm 1990</w:t>
        </w:r>
      </w:hyperlink>
      <w:r>
        <w:t xml:space="preserve">)</w:t>
      </w:r>
      <w:r>
        <w:t xml:space="preserve"> </w:t>
      </w:r>
      <w:r>
        <w:t xml:space="preserve">from recognising the continuing effect of the offence in their lives, via the sense they make from it.</w:t>
      </w:r>
    </w:p>
    <w:p>
      <w:pPr>
        <w:pStyle w:val="BodyText"/>
      </w:pPr>
      <w:r>
        <w:t xml:space="preserve">Our case studies derive initially from separate analytical work carried out by each author. Having independently observed that the offence featured little in prison sociology despite its significance in our own data, and each discussed this in our own work</w:t>
      </w:r>
      <w:r>
        <w:t xml:space="preserve"> </w:t>
      </w:r>
      <w:r>
        <w:t xml:space="preserve">(e.g.</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evinsStainsImprisonmentMoral2023">
        <w:r>
          <w:rPr>
            <w:rStyle w:val="Hyperlink"/>
          </w:rPr>
          <w:t xml:space="preserve">Ievins 2023</w:t>
        </w:r>
      </w:hyperlink>
      <w:r>
        <w:t xml:space="preserve">;</w:t>
      </w:r>
      <w:r>
        <w:t xml:space="preserve"> </w:t>
      </w:r>
      <w:hyperlink w:anchor="ref-jarmanOnlyOneWay2020">
        <w:r>
          <w:rPr>
            <w:rStyle w:val="Hyperlink"/>
          </w:rPr>
          <w:t xml:space="preserve">Jarman 2020</w:t>
        </w:r>
      </w:hyperlink>
      <w:r>
        <w:t xml:space="preserve">)</w:t>
      </w:r>
      <w:r>
        <w:t xml:space="preserve">, we collaborated to address the gap more directly. To do so, we selected cases that were emblematic, in that they illuminated the analytical framework we propose here.</w:t>
      </w:r>
    </w:p>
    <w:p>
      <w:pPr>
        <w:pStyle w:val="BodyText"/>
      </w:pPr>
      <w:r>
        <w:t xml:space="preserve">Our original studies employed systematic qualitative analysis and followed similar coding procedures (using NVivo in two cases, Atlas.ti in one). Each developed hierarchical coding schemes that combined descriptive codes (e.g. </w:t>
      </w:r>
      <w:r>
        <w:t xml:space="preserve">“the offence”</w:t>
      </w:r>
      <w:r>
        <w:t xml:space="preserve">,</w:t>
      </w:r>
      <w:r>
        <w:t xml:space="preserve"> </w:t>
      </w:r>
      <w:r>
        <w:t xml:space="preserve">“family relationships”</w:t>
      </w:r>
      <w:r>
        <w:t xml:space="preserve">) and conceptual codes (e.g. </w:t>
      </w:r>
      <w:r>
        <w:t xml:space="preserve">“guilt and shame”</w:t>
      </w:r>
      <w:r>
        <w:t xml:space="preserve">,</w:t>
      </w:r>
      <w:r>
        <w:t xml:space="preserve"> </w:t>
      </w:r>
      <w:r>
        <w:t xml:space="preserve">“moral evaluation”</w:t>
      </w:r>
      <w:r>
        <w:t xml:space="preserve">), which were applied both deductively and inductively. For this article, we drew on these existing analyses to identify individuals for whom reflection on the offence seemed especially salient, as evidenced through relevant codes (e.g. </w:t>
      </w:r>
      <w:r>
        <w:t xml:space="preserve">“feeling responsible”</w:t>
      </w:r>
      <w:r>
        <w:t xml:space="preserve">,</w:t>
      </w:r>
      <w:r>
        <w:t xml:space="preserve"> </w:t>
      </w:r>
      <w:r>
        <w:t xml:space="preserve">“being labelled”</w:t>
      </w:r>
      <w:r>
        <w:t xml:space="preserve">). We then reflected on how the offence seemed to have shaped each person’s attitudes towards their wider prison experiences.</w:t>
      </w:r>
    </w:p>
    <w:p>
      <w:pPr>
        <w:pStyle w:val="BodyText"/>
      </w:pPr>
      <w:r>
        <w:t xml:space="preserve">The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Extended observation and 45 interviews (averaging three hours) explored how penal power shapes social relations, with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seek offence details, but these were often volunteered, and interviewers engaged responsively, exploring orientations towards the offence, conviction and sentence.</w:t>
      </w:r>
    </w:p>
    <w:p>
      <w:pPr>
        <w:pStyle w:val="BodyText"/>
      </w:pPr>
      <w:r>
        <w:t xml:space="preserve">The third case study is drawn from a study of 48 life-sentenced men in two English prisons: a closed, high-security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All shared a murder conviction but varied widely in age, sentence length, time served, age at conviction, and offence and pre-prison circumstances. Interviews averaging four hours were supplemented by document analysis.</w:t>
      </w:r>
    </w:p>
    <w:bookmarkEnd w:id="13"/>
    <w:bookmarkStart w:id="19" w:name="X1834ad4d0bdde6364151b855dbeb8e0f52a0b6c"/>
    <w:p>
      <w:pPr>
        <w:pStyle w:val="Heading1"/>
      </w:pPr>
      <w:r>
        <w:t xml:space="preserve">Case studies: the offence in three dimensions</w:t>
      </w:r>
    </w:p>
    <w:p>
      <w:pPr>
        <w:pStyle w:val="FirstParagraph"/>
      </w:pPr>
      <w:r>
        <w:t xml:space="preserve">As noted above, our case studies are selected for analytical clarity. They show how considering the offence helps us more fully theorise, in three dimensions,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p>
    <w:p>
      <w:pPr>
        <w:pStyle w:val="BodyText"/>
      </w:pPr>
      <w:r>
        <w:t xml:space="preserve">The first dimension—</w:t>
      </w:r>
      <w:r>
        <w:rPr>
          <w:i/>
          <w:iCs/>
        </w:rPr>
        <w:t xml:space="preserve">what prison is like</w:t>
      </w:r>
      <w:r>
        <w:t xml:space="preserve">—examines the phenomenological and social consequences of the offence. We attend both to objective features of the penal setting, and to what prisoners find subjectively important. For example, the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what the offence and/or conviction mean, subjectively. Indeed, we contend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and attempting to mould their reflections on their convictions. Here, we ask what messages prisons transmit about particular offences, and how these are conveyed. They include both explicit communications, such as those occurring via therapeutic intervention or risk assessment, and implicit communications embedded in everyday practices and interactions. Messages are also carried by material practices of treatment and intervention, from staff conduct to direct engagement with prisoners’ offending behaviour. Theoretically, this raises questions about how prisoners interpret the often oblique and inconsistent messages they receive and navigate the various attempts by institutions to influence their attitudes, thinking, and behaviour.</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connects to how we theorise prison legitimacy, and to broader questions about whether imprisonment delivers something more salutary than mere pain, and how its harms can be justified. Such justifications are shaped by the aims of sentencing, and the extent to which these are realised. This is because different penal logics—whether retributive, rehabilitative, deterrent, or incapacitative—imply different messages about wrongdoing. Different penal logics also co-exist within the same institutional context, producing tensions and contradictions. Still, both the content of censure, and the efficacy of prisons in delivering it, are amenable to empirical investigation. This places the offence—how it is understood by both the individual and the institution—centre-stage.</w:t>
      </w:r>
    </w:p>
    <w:bookmarkStart w:id="16" w:name="mick"/>
    <w:p>
      <w:pPr>
        <w:pStyle w:val="Heading3"/>
      </w:pPr>
      <w:r>
        <w:t xml:space="preserve">Mick</w:t>
      </w:r>
    </w:p>
    <w:p>
      <w:pPr>
        <w:pStyle w:val="FirstParagraph"/>
      </w:pPr>
      <w:r>
        <w:t xml:space="preserve">Mick,</w:t>
      </w:r>
      <w:r>
        <w:rPr>
          <w:rStyle w:val="FootnoteReference"/>
        </w:rPr>
        <w:footnoteReference w:id="14"/>
      </w:r>
      <w:r>
        <w:t xml:space="preserve"> </w:t>
      </w:r>
      <w:r>
        <w:t xml:space="preserve">held in a medium-security prison for men convicted of sex offences, was heavily involved in the informal prisoner economy, and frequently got into bitter, public arguments with prison staff. When interviewed, however, it became clear that this defiant persona stemmed from his complicated relationship to his imprisonment. When Mick was a child, he was persistently abused by an adult family member, and said that this had involved coercing him (Mick) into his own acts of perpetration. Years later, he reported his abuser to the police, but was ultimately prosecuted for acts which he said he had committed under duress as a child. He was found guilty, and sentenced to a sentence of several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abuser]</w:t>
      </w:r>
      <w:r>
        <w:rPr>
          <w:rStyle w:val="FootnoteReference"/>
        </w:rPr>
        <w:footnoteReference w:id="15"/>
      </w:r>
      <w:r>
        <w:t xml:space="preserve"> </w:t>
      </w:r>
      <w:r>
        <w:t xml:space="preserve">and I can’t get that out of my head”</w:t>
      </w:r>
      <w:r>
        <w:t xml:space="preserve">.</w:t>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did not prevent inappropriate sexual behaviour, or engaged in interactions he perceived as flirtatious or unboundaried.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[abuser]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 This meant he had no pathway to demonstrate reduced risk and potentially ameliorate his conditions after release.</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the family members he had hurt:</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he had been involved in.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w:t>
      </w:r>
      <w:r>
        <w:t xml:space="preserve"> </w:t>
      </w:r>
      <w:r>
        <w:t xml:space="preserve">people, and the conviction</w:t>
      </w:r>
      <w:r>
        <w:t xml:space="preserve"> </w:t>
      </w:r>
      <w:r>
        <w:t xml:space="preserve">“just concretes what I thought of myself […] and makes it true. I think that it’s broken me as a person.”</w:t>
      </w:r>
      <w:r>
        <w:t xml:space="preserve"> </w:t>
      </w:r>
      <w:r>
        <w:t xml:space="preserve">Overall, then, while Mick may have appeared non-compliant or a troublemaker, he was preoccupied by the felt injustice and shame of his incarceration, a sentiment which seeped into and infected how he interacted with prison powerholders.</w:t>
      </w:r>
    </w:p>
    <w:bookmarkEnd w:id="16"/>
    <w:bookmarkStart w:id="17"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 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 The offence, and his feelings of deep shame about it, dominated his interior life, orientation to the sentence and social relations, in ways that trumped and made redundant penal censure.</w:t>
      </w:r>
    </w:p>
    <w:bookmarkEnd w:id="17"/>
    <w:bookmarkStart w:id="18"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to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r>
        <w:br/>
      </w:r>
      <w:r>
        <w:t xml:space="preserve">Yes. My religion. [Long pause] My family. Myself.</w:t>
      </w:r>
      <w:r>
        <w:br/>
      </w:r>
      <w:r>
        <w:rPr>
          <w:i/>
          <w:iCs/>
        </w:rPr>
        <w:t xml:space="preserve">You’ve gained yourself?</w:t>
      </w:r>
      <w:r>
        <w:br/>
      </w: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18"/>
    <w:bookmarkEnd w:id="19"/>
    <w:bookmarkStart w:id="21" w:name="discussion"/>
    <w:p>
      <w:pPr>
        <w:pStyle w:val="Heading1"/>
      </w:pPr>
      <w:r>
        <w:t xml:space="preserve">Discussion</w:t>
      </w:r>
    </w:p>
    <w:p>
      <w:pPr>
        <w:pStyle w:val="FirstParagraph"/>
      </w:pPr>
      <w:r>
        <w:t xml:space="preserve">Regarding our first analytical dimension, attending to the offence clarifies</w:t>
      </w:r>
      <w:r>
        <w:t xml:space="preserve"> </w:t>
      </w:r>
      <w:r>
        <w:rPr>
          <w:i/>
          <w:iCs/>
        </w:rPr>
        <w:t xml:space="preserve">what imprisonment is like</w:t>
      </w:r>
      <w:r>
        <w:t xml:space="preserve">, enriching accounts of adaptation, compliance, staff-prisoner relationships, and social relations.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w:t>
      </w:r>
      <w:r>
        <w:t xml:space="preserve">typically depict prisoner social dynamics as being driven by urgent needs—for example, to mitigate deprivation, secure safety, defend interests, or protect identity. In this paradigm, the solutions offered by social interaction impel prisoners’ actions in almost mechanical ways. This framework is persuasive but reductive, overlooking how internal moral and psychic drives can also generate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centring the offence. For all three, the importance of the prisoner social world is subordinate to that of coming to terms with feelings of shame and bewilderment relating to the offence. This was most strongly exemplified by Nicholas, who stated explicitly that his outward adjustment had concealed inward turbulence.</w:t>
      </w:r>
    </w:p>
    <w:p>
      <w:pPr>
        <w:pStyle w:val="BodyText"/>
      </w:pPr>
      <w:r>
        <w:t xml:space="preserve">This inner-outer contrast can enrich our understanding of topics of longstanding interest. For example, staff-prisoner relationships have typically been understood through criminal codes, authority orientations, and power disparities</w:t>
      </w:r>
      <w:r>
        <w:t xml:space="preserve"> </w:t>
      </w:r>
      <w:r>
        <w:t xml:space="preserve">(e.g.</w:t>
      </w:r>
      <w:r>
        <w:t xml:space="preserve"> </w:t>
      </w:r>
      <w:hyperlink w:anchor="ref-cohenPsychologicalSurvival1981">
        <w:r>
          <w:rPr>
            <w:rStyle w:val="Hyperlink"/>
          </w:rPr>
          <w:t xml:space="preserve">Cohen &amp; Taylor 1981/1972</w:t>
        </w:r>
      </w:hyperlink>
      <w:r>
        <w:t xml:space="preserve">;</w:t>
      </w:r>
      <w:r>
        <w:t xml:space="preserve"> </w:t>
      </w:r>
      <w:hyperlink w:anchor="ref-drakePrisonsPunishmentPursuit2012">
        <w:r>
          <w:rPr>
            <w:rStyle w:val="Hyperlink"/>
          </w:rPr>
          <w:t xml:space="preserve">Drake 2012</w:t>
        </w:r>
      </w:hyperlink>
      <w:r>
        <w:t xml:space="preserve">;</w:t>
      </w:r>
      <w:r>
        <w:t xml:space="preserve"> </w:t>
      </w:r>
      <w:hyperlink w:anchor="ref-irwinThievesConvictsInmate1962">
        <w:r>
          <w:rPr>
            <w:rStyle w:val="Hyperlink"/>
          </w:rPr>
          <w:t xml:space="preserve">Irwin &amp; Cressey 1962</w:t>
        </w:r>
      </w:hyperlink>
      <w:r>
        <w:t xml:space="preserve">)</w:t>
      </w:r>
      <w:r>
        <w:t xml:space="preserve">. Yet Mick and Chris show that prisoners who distance themselves from officers (or other staff) might have in mind how those staff members represent certain feelings about their convictions, or about how the criminal justice system has interpreted their acts. Prison staff do not simply represent state repression</w:t>
      </w:r>
      <w:r>
        <w:t xml:space="preserve"> </w:t>
      </w:r>
      <w:r>
        <w:t xml:space="preserve">(e.g.</w:t>
      </w:r>
      <w:r>
        <w:t xml:space="preserve"> </w:t>
      </w:r>
      <w:hyperlink w:anchor="ref-irwinPrisonsTurmoil1980">
        <w:r>
          <w:rPr>
            <w:rStyle w:val="Hyperlink"/>
          </w:rPr>
          <w:t xml:space="preserve">Irwin 1980</w:t>
        </w:r>
      </w:hyperlink>
      <w:r>
        <w:t xml:space="preserve">;</w:t>
      </w:r>
      <w:r>
        <w:t xml:space="preserve"> </w:t>
      </w:r>
      <w:hyperlink w:anchor="ref-jacobsStatevillePenitentiaryMass1977">
        <w:r>
          <w:rPr>
            <w:rStyle w:val="Hyperlink"/>
          </w:rPr>
          <w:t xml:space="preserve">Jacobs 1977</w:t>
        </w:r>
      </w:hyperlink>
      <w:r>
        <w:t xml:space="preserve">)</w:t>
      </w:r>
      <w:r>
        <w:t xml:space="preserve">, nor act simply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Compliance, including engagement with programmes, is shaped by offence-related sentiments—hence Mick’s tense relationship with staff and refusal to conform to an undeserved regime, Chris’s general disengagement and resistance to activities he expected to vivify his intrusive thoughts, and Nicholas’s difficulties in accounting for his past actions without therapeutic tutelage. Just as prisoners’ (non)compliance can be motivated by the perceived legitimacy of their treatment</w:t>
      </w:r>
      <w:r>
        <w:t xml:space="preserve"> </w:t>
      </w:r>
      <w:r>
        <w:t xml:space="preserve">(</w:t>
      </w:r>
      <w:hyperlink w:anchor="ref-lieblingPrisonsTheirMoral2005">
        <w:r>
          <w:rPr>
            <w:rStyle w:val="Hyperlink"/>
          </w:rPr>
          <w:t xml:space="preserve">Liebling 2005</w:t>
        </w:r>
      </w:hyperlink>
      <w:r>
        <w:t xml:space="preserve">;</w:t>
      </w:r>
      <w:r>
        <w:t xml:space="preserve"> </w:t>
      </w:r>
      <w:hyperlink w:anchor="ref-sparksPrisonsProblemOrder1996">
        <w:r>
          <w:rPr>
            <w:rStyle w:val="Hyperlink"/>
          </w:rPr>
          <w:t xml:space="preserve">Sparks 1996</w:t>
        </w:r>
      </w:hyperlink>
      <w:r>
        <w:t xml:space="preserve">)</w:t>
      </w:r>
      <w:r>
        <w:t xml:space="preserve">, so too it can be shaped by feelings about the offence for which they are imprisoned.</w:t>
      </w:r>
    </w:p>
    <w:p>
      <w:pPr>
        <w:pStyle w:val="BodyText"/>
      </w:pPr>
      <w:r>
        <w:t xml:space="preserve">The topic of social relations illustrates the same point. How our examples chose to interact with their peers, involve themselves in prisoner society, or self-isolate, cannot be attributed only to their</w:t>
      </w:r>
      <w:r>
        <w:t xml:space="preserve"> </w:t>
      </w:r>
      <w:r>
        <w:t xml:space="preserve">‘problem-solving’</w:t>
      </w:r>
      <w:r>
        <w:t xml:space="preserve">. Their choices also reflect comparative moral evaluations prompted by the offence and the conviction, filtered through emotions like disgust (Mick), the capacity to handle ruminative turmoil (Chris), or the challenges of accounting to others for one’s actions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and not mere</w:t>
      </w:r>
      <w:r>
        <w:t xml:space="preserve"> </w:t>
      </w:r>
      <w:r>
        <w:t xml:space="preserve">‘escape activities’</w:t>
      </w:r>
      <w:r>
        <w:t xml:space="preserve"> </w:t>
      </w:r>
      <w:r>
        <w:t xml:space="preserve">(</w:t>
      </w:r>
      <w:hyperlink w:anchor="ref-goffmanAsylumsEssaysSocial1961">
        <w:r>
          <w:rPr>
            <w:rStyle w:val="Hyperlink"/>
          </w:rPr>
          <w:t xml:space="preserve">Goffman 1990</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our second analytical dimension, considering the offence clarifies</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an explicit target of power—as when prisons seek to equip people with</w:t>
      </w:r>
      <w:r>
        <w:t xml:space="preserve"> </w:t>
      </w:r>
      <w:r>
        <w:t xml:space="preserve">‘skills’</w:t>
      </w:r>
      <w:r>
        <w:t xml:space="preserve"> </w:t>
      </w:r>
      <w:r>
        <w:t xml:space="preserve">which will help them manage their risk in future—and sometimes the basis of organisational categorisation. For example, Mick was categorised as and held among</w:t>
      </w:r>
      <w:r>
        <w:t xml:space="preserve"> </w:t>
      </w:r>
      <w:r>
        <w:t xml:space="preserve">“sex offenders”</w:t>
      </w:r>
      <w:r>
        <w:t xml:space="preserve">, but felt morally distinct from this classification. In other words, prisons are morally communicative institutions—a role and function which has not been properly explained in previous accounts</w:t>
      </w:r>
      <w:r>
        <w:t xml:space="preserve"> </w:t>
      </w:r>
      <w:r>
        <w:t xml:space="preserve">(though see</w:t>
      </w:r>
      <w:r>
        <w:t xml:space="preserve"> </w:t>
      </w:r>
      <w:hyperlink w:anchor="ref-ievinsStainsImprisonmentMoral2023">
        <w:r>
          <w:rPr>
            <w:rStyle w:val="Hyperlink"/>
          </w:rPr>
          <w:t xml:space="preserve">Ievins 2023</w:t>
        </w:r>
      </w:hyperlink>
      <w:r>
        <w:t xml:space="preserve">;</w:t>
      </w:r>
      <w:r>
        <w:t xml:space="preserve"> </w:t>
      </w:r>
      <w:hyperlink w:anchor="X376f4432f0a458a8ef978d63ff7e061be0d74ef">
        <w:r>
          <w:rPr>
            <w:rStyle w:val="Hyperlink"/>
          </w:rPr>
          <w:t xml:space="preserve">Schinkel 2014</w:t>
        </w:r>
      </w:hyperlink>
      <w:r>
        <w:t xml:space="preserve">)</w:t>
      </w:r>
      <w:r>
        <w:t xml:space="preserve">.</w:t>
      </w:r>
    </w:p>
    <w:p>
      <w:pPr>
        <w:pStyle w:val="BodyText"/>
      </w:pPr>
      <w:r>
        <w:t xml:space="preserve">Even when the offence is not explicitly threaded into the operations of power, the fact of being in prison, and of how prisons are organised, influences how people reflect on and relate to their conviction. Our case studies show how moral and penal censure interact with the offence, a process with significant personal consequences. Nicholas offers a rare example of how imprisonment can facilitate a more productive relationship with the self, in his case arising from being supported to</w:t>
      </w:r>
      <w:r>
        <w:t xml:space="preserve"> </w:t>
      </w:r>
      <w:r>
        <w:t xml:space="preserve">“sit with”</w:t>
      </w:r>
      <w:r>
        <w:t xml:space="preserve"> </w:t>
      </w:r>
      <w:r>
        <w:t xml:space="preserve">his culpability.</w:t>
      </w:r>
      <w:r>
        <w:rPr>
          <w:rStyle w:val="FootnoteReference"/>
        </w:rPr>
        <w:footnoteReference w:id="20"/>
      </w:r>
      <w:r>
        <w:t xml:space="preserve"> </w:t>
      </w:r>
      <w:r>
        <w:t xml:space="preserve">Mick, by contrast, felt imprisonment might potentially have helped him</w:t>
      </w:r>
      <w:r>
        <w:t xml:space="preserve"> </w:t>
      </w:r>
      <w:r>
        <w:t xml:space="preserve">“come to terms with everything that’s happened”</w:t>
      </w:r>
      <w:r>
        <w:t xml:space="preserve">, but for experiences of misrecognition and unmerited punishment which blocked this outcome. He oscillated between bitter resentment and profound shame, prompted by the harms for which he did feel responsible. Chris, meanwhile, assumed that the system judged him harshly, in line with his own self-evaluation. Such was the depth of his self-disgust that he neither needed nor wanted external engagement, and could perceive no means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It is a paradox of the modern prison that it has obscured punishment—a hitherto public and participatory procedure—through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Attending to the moral messages prisons convey casts light on their punitive functions. Viewed thus, imprisonment is not an</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one subject to more stringent justification and different forms of legitimacy.</w:t>
      </w:r>
    </w:p>
    <w:p>
      <w:pPr>
        <w:pStyle w:val="BodyText"/>
      </w:pPr>
      <w:r>
        <w:t xml:space="preserve">Our case studies offer evidence about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this goal.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Therapeutic intervention had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 McNeill</w:t>
      </w:r>
      <w:r>
        <w:t xml:space="preserve"> </w:t>
      </w:r>
      <w:r>
        <w:t xml:space="preserve">(</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 Nicholas’s clearly articulated concern for his victims was striking, as was his view that his obligations to them were not fully discharged. Like Mick, he was troubled that imprisonment denied him the opportunity to apologise to and make amends with the people he had harmed. Both men suffered because their punishment felt like an incomplete ritual, bringing them to the point of desiring repair, but unable to actually achieve it. Their examples reveal how contemporary imprisonment often initiates—without completing—the moral work of censure that punishment is claimed to perform. Seen in this way, prisons thwart the punitive ritual which is claimed to justify their use in the first place.</w:t>
      </w:r>
    </w:p>
    <w:bookmarkEnd w:id="21"/>
    <w:bookmarkStart w:id="23"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It illuminates what preoccupies prisoners, the moral evaluations shaping their actions, and how prisons manage them as people defined by a conviction. It is startling that so little research has closely studied these matters, documenting how the subjective moral implications of criminal offences infuse the carceral lifeworld. The prison’s role</w:t>
      </w:r>
      <w:r>
        <w:t xml:space="preserve"> </w:t>
      </w:r>
      <w:r>
        <w:rPr>
          <w:i/>
          <w:iCs/>
        </w:rPr>
        <w:t xml:space="preserve">as a punitive institution</w:t>
      </w:r>
      <w:r>
        <w:t xml:space="preserve"> </w:t>
      </w:r>
      <w:r>
        <w:t xml:space="preserve">should be more central to how we theorise it. Prisons deliberately impose suffering on people whose imputed wrongdoing is deemed to justify it. In wrestling with what they deserve, those people engage with what it means to be punished in a range of ways, including by punishing themselves.</w:t>
      </w:r>
    </w:p>
    <w:p>
      <w:pPr>
        <w:pStyle w:val="BodyText"/>
      </w:pPr>
      <w:r>
        <w:t xml:space="preserve">The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its moral effects are often</w:t>
      </w:r>
      <w:r>
        <w:t xml:space="preserve"> </w:t>
      </w:r>
      <w:r>
        <w:t xml:space="preserve">“assumed rather than empirically studied”</w:t>
      </w:r>
      <w:r>
        <w:t xml:space="preserve"> </w:t>
      </w:r>
      <w:r>
        <w:t xml:space="preserve">(</w:t>
      </w:r>
      <w:hyperlink w:anchor="ref-lieblingEpilogueMoralEthical2025">
        <w:r>
          <w:rPr>
            <w:rStyle w:val="Hyperlink"/>
          </w:rPr>
          <w:t xml:space="preserve">2025 p. 2</w:t>
        </w:r>
      </w:hyperlink>
      <w:r>
        <w:t xml:space="preserve">)</w:t>
      </w:r>
      <w:r>
        <w:t xml:space="preserve">. Some such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complexity of our case studies, which show ethical work that is often self-initiated, incomplete, and shaped by offence-specific meanings.</w:t>
      </w:r>
    </w:p>
    <w:p>
      <w:pPr>
        <w:pStyle w:val="BodyText"/>
      </w:pPr>
      <w:r>
        <w:t xml:space="preserve">Our cases concern offences with an intense</w:t>
      </w:r>
      <w:r>
        <w:t xml:space="preserve"> </w:t>
      </w:r>
      <w:r>
        <w:t xml:space="preserve">‘moral weight’</w:t>
      </w:r>
      <w:r>
        <w:t xml:space="preserve"> </w:t>
      </w:r>
      <w:r>
        <w:t xml:space="preserve">(</w:t>
      </w:r>
      <w:hyperlink w:anchor="ref-hulleyMoralWeightMurder2025">
        <w:r>
          <w:rPr>
            <w:rStyle w:val="Hyperlink"/>
          </w:rPr>
          <w:t xml:space="preserve">Hulley 2025</w:t>
        </w:r>
      </w:hyperlink>
      <w:r>
        <w:t xml:space="preserve">)</w:t>
      </w:r>
      <w:r>
        <w:t xml:space="preserve">, in that the men we discuss here had all been imprisoned for serious violent or sexual offences. While this might appear to limit the applicability of our argument, the analytical framework can extend more broadly.</w:t>
      </w:r>
      <w:r>
        <w:rPr>
          <w:rStyle w:val="FootnoteReference"/>
        </w:rPr>
        <w:footnoteReference w:id="22"/>
      </w:r>
      <w:r>
        <w:t xml:space="preserve"> </w:t>
      </w:r>
      <w:r>
        <w:t xml:space="preserve">Across our studies, the offence was always of some relevance to sentenced prisoners, since regardless of how individuals relate to it psychologically, the conviction always defines the severity of the sentence and shapes progression pathways. Its</w:t>
      </w:r>
      <w:r>
        <w:t xml:space="preserve"> </w:t>
      </w:r>
      <w:r>
        <w:rPr>
          <w:i/>
          <w:iCs/>
        </w:rPr>
        <w:t xml:space="preserve">subjective</w:t>
      </w:r>
      <w:r>
        <w:t xml:space="preserve"> </w:t>
      </w:r>
      <w:r>
        <w:t xml:space="preserve">significance, though, varied considerably. We acknowledge that someone serving a tenth short burglary sentence might not ruminate on one specific offence to an extent that subjugates their other concerns. Hence a less</w:t>
      </w:r>
      <w:r>
        <w:t xml:space="preserve"> </w:t>
      </w:r>
      <w:r>
        <w:t xml:space="preserve">‘weighty’</w:t>
      </w:r>
      <w:r>
        <w:t xml:space="preserve"> </w:t>
      </w:r>
      <w:r>
        <w:t xml:space="preserve">conviction might not always (in our framework) shape what prison</w:t>
      </w:r>
      <w:r>
        <w:t xml:space="preserve"> </w:t>
      </w:r>
      <w:r>
        <w:rPr>
          <w:i/>
          <w:iCs/>
        </w:rPr>
        <w:t xml:space="preserve">is like</w:t>
      </w:r>
      <w:r>
        <w:t xml:space="preserve">. Nonetheless, it will always be analytically significant for understanding how prisons communicate censure (</w:t>
      </w:r>
      <w:r>
        <w:rPr>
          <w:i/>
          <w:iCs/>
        </w:rPr>
        <w:t xml:space="preserve">what they do</w:t>
      </w:r>
      <w:r>
        <w:t xml:space="preserve">), and what purposes they serve (</w:t>
      </w:r>
      <w:r>
        <w:rPr>
          <w:i/>
          <w:iCs/>
        </w:rPr>
        <w:t xml:space="preserve">what they are for</w:t>
      </w:r>
      <w:r>
        <w:t xml:space="preserve">). Moreover, less serious convictions may still hold subjective significance: people serving repeated short sentences grapple with and act upon feelings of shame, resentment and existential futility</w:t>
      </w:r>
      <w:r>
        <w:t xml:space="preserve"> </w:t>
      </w:r>
      <w:r>
        <w:t xml:space="preserve">(e.g.</w:t>
      </w:r>
      <w:r>
        <w:t xml:space="preserve"> </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and when accumulated penal harms vastly exceed the gravity of any individual conviction, the very meaninglessness people experience might also reveal something important about what prisons are</w:t>
      </w:r>
      <w:r>
        <w:t xml:space="preserve"> </w:t>
      </w:r>
      <w:r>
        <w:rPr>
          <w:i/>
          <w:iCs/>
        </w:rPr>
        <w:t xml:space="preserve">for</w:t>
      </w:r>
      <w:r>
        <w:t xml:space="preserve">.</w:t>
      </w:r>
    </w:p>
    <w:p>
      <w:pPr>
        <w:pStyle w:val="BodyText"/>
      </w:pPr>
      <w:r>
        <w:t xml:space="preserve">In our view, the extent to which different (and not only serious) offences shape prison experiences across our three dimensions—phenomenologically, institutionally, and purposively—is an empirical question worthy of systematic investigation. We urge scholars to theorise the prison with these issues in mind, and offer a framework to guide future research. It moves beyond the tendency to treat offences as mere classificatory variables, recognising instead that their subjective meanings shape the prison experience powerfully. Scholarship already moving in this direction requires fuller development.</w:t>
      </w:r>
    </w:p>
    <w:p>
      <w:r>
        <w:br w:type="page"/>
      </w:r>
    </w:p>
    <w:bookmarkEnd w:id="23"/>
    <w:bookmarkStart w:id="146" w:name="references"/>
    <w:p>
      <w:pPr>
        <w:pStyle w:val="Heading1"/>
      </w:pPr>
      <w:r>
        <w:t xml:space="preserve">References</w:t>
      </w:r>
    </w:p>
    <w:bookmarkStart w:id="145" w:name="refs"/>
    <w:bookmarkStart w:id="25" w:name="X5541ede60ea981975e56ecbc8f3dc582979a802"/>
    <w:p>
      <w:pPr>
        <w:pStyle w:val="Bibliography"/>
      </w:pPr>
      <w:r>
        <w:t xml:space="preserve">Armstrong, S., &amp; Weaver, B. (2013).</w:t>
      </w:r>
      <w:r>
        <w:t xml:space="preserve"> </w:t>
      </w:r>
      <w:hyperlink r:id="rId24">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25"/>
    <w:bookmarkStart w:id="27" w:name="X380135df46556ce78bd2024f909ff3112a761cb"/>
    <w:p>
      <w:pPr>
        <w:pStyle w:val="Bibliography"/>
      </w:pPr>
      <w:r>
        <w:t xml:space="preserve">Blagden, N., &amp; Pemberton, S. (2010).</w:t>
      </w:r>
      <w:r>
        <w:t xml:space="preserve"> </w:t>
      </w:r>
      <w:hyperlink r:id="rId26">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27"/>
    <w:bookmarkStart w:id="28"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28"/>
    <w:bookmarkStart w:id="29"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29"/>
    <w:bookmarkStart w:id="30" w:name="ref-cohenPsychologicalSurvival1981"/>
    <w:p>
      <w:pPr>
        <w:pStyle w:val="Bibliography"/>
      </w:pPr>
      <w:r>
        <w:t xml:space="preserve">Cohen, S., &amp; Taylor, L. (1981).</w:t>
      </w:r>
      <w:r>
        <w:t xml:space="preserve"> </w:t>
      </w:r>
      <w:r>
        <w:rPr>
          <w:i/>
          <w:iCs/>
        </w:rPr>
        <w:t xml:space="preserve">Psychological survival</w:t>
      </w:r>
      <w:r>
        <w:t xml:space="preserve">, 2., Harmondsworth: Penguin Books. (Original work published 1972)</w:t>
      </w:r>
    </w:p>
    <w:bookmarkEnd w:id="30"/>
    <w:bookmarkStart w:id="32"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31">
        <w:r>
          <w:rPr>
            <w:rStyle w:val="Hyperlink"/>
          </w:rPr>
          <w:t xml:space="preserve">10.1093/acprof:oso/9780199577965.001.0001/</w:t>
        </w:r>
      </w:hyperlink>
    </w:p>
    <w:bookmarkEnd w:id="32"/>
    <w:bookmarkStart w:id="34" w:name="ref-creweDepthWeightTightness2011"/>
    <w:p>
      <w:pPr>
        <w:pStyle w:val="Bibliography"/>
      </w:pPr>
      <w:r>
        <w:t xml:space="preserve">Crewe, B. (2011).</w:t>
      </w:r>
      <w:r>
        <w:t xml:space="preserve"> </w:t>
      </w:r>
      <w:hyperlink r:id="rId33">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34"/>
    <w:bookmarkStart w:id="36" w:name="ref-creweGenderedPainsLife2017"/>
    <w:p>
      <w:pPr>
        <w:pStyle w:val="Bibliography"/>
      </w:pPr>
      <w:r>
        <w:t xml:space="preserve">Crewe, B., Hulley, S., &amp; Wright, S. (2017).</w:t>
      </w:r>
      <w:r>
        <w:t xml:space="preserve"> </w:t>
      </w:r>
      <w:hyperlink r:id="rId35">
        <w:r>
          <w:rPr>
            <w:rStyle w:val="Hyperlink"/>
          </w:rPr>
          <w:t xml:space="preserve">The Gendered Pains of Life Imprisonment</w:t>
        </w:r>
      </w:hyperlink>
      <w:r>
        <w:t xml:space="preserve">.</w:t>
      </w:r>
      <w:r>
        <w:t xml:space="preserve"> </w:t>
      </w:r>
      <w:r>
        <w:rPr>
          <w:i/>
          <w:iCs/>
        </w:rPr>
        <w:t xml:space="preserve">British Journal of Criminology</w:t>
      </w:r>
      <w:r>
        <w:t xml:space="preserve">,</w:t>
      </w:r>
      <w:r>
        <w:t xml:space="preserve"> </w:t>
      </w:r>
      <w:r>
        <w:rPr>
          <w:b/>
          <w:bCs/>
        </w:rPr>
        <w:t xml:space="preserve">57</w:t>
      </w:r>
      <w:r>
        <w:t xml:space="preserve">(6), azw088.</w:t>
      </w:r>
    </w:p>
    <w:bookmarkEnd w:id="36"/>
    <w:bookmarkStart w:id="37"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Palgrave Macmillan.</w:t>
      </w:r>
    </w:p>
    <w:bookmarkEnd w:id="37"/>
    <w:bookmarkStart w:id="39" w:name="ref-creweClosenessDistanceHonesty2015"/>
    <w:p>
      <w:pPr>
        <w:pStyle w:val="Bibliography"/>
      </w:pPr>
      <w:r>
        <w:t xml:space="preserve">Crewe, B., &amp; Ievins, A. (2015).</w:t>
      </w:r>
      <w:r>
        <w:t xml:space="preserve"> </w:t>
      </w:r>
      <w:hyperlink r:id="rId38">
        <w:r>
          <w:rPr>
            <w:rStyle w:val="Hyperlink"/>
          </w:rPr>
          <w:t xml:space="preserve">Closeness, Distance and Honesty in Prison Ethnography</w:t>
        </w:r>
      </w:hyperlink>
      <w:r>
        <w:t xml:space="preserve">. In D. H. Drake, R. Earle, &amp; J. Sloan, eds,</w:t>
      </w:r>
      <w:r>
        <w:t xml:space="preserve"> </w:t>
      </w:r>
      <w:r>
        <w:rPr>
          <w:i/>
          <w:iCs/>
        </w:rPr>
        <w:t xml:space="preserve">The Palgrave Handbook of Prison Ethnography</w:t>
      </w:r>
      <w:r>
        <w:t xml:space="preserve">, London: Palgrave, pp. 124–142.</w:t>
      </w:r>
    </w:p>
    <w:bookmarkEnd w:id="39"/>
    <w:bookmarkStart w:id="41" w:name="ref-creweTightnessRecognitionPenal2021"/>
    <w:p>
      <w:pPr>
        <w:pStyle w:val="Bibliography"/>
      </w:pPr>
      <w:r>
        <w:t xml:space="preserve">Crewe, B., &amp; Ievins, A. (2020).</w:t>
      </w:r>
      <w:r>
        <w:t xml:space="preserve"> </w:t>
      </w:r>
      <w:hyperlink r:id="rId40">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1"/>
    <w:bookmarkStart w:id="43" w:name="ref-creweNordicPenalExceptionalism2023"/>
    <w:p>
      <w:pPr>
        <w:pStyle w:val="Bibliography"/>
      </w:pPr>
      <w:r>
        <w:t xml:space="preserve">Crewe, B., Ievins, A., Larmour, S., Laursen, J., Mjåland, K., &amp; Schliehe, A. (2022).</w:t>
      </w:r>
      <w:r>
        <w:t xml:space="preserve"> </w:t>
      </w:r>
      <w:hyperlink r:id="rId42">
        <w:r>
          <w:rPr>
            <w:rStyle w:val="Hyperlink"/>
          </w:rPr>
          <w:t xml:space="preserve">Nordic Penal Exceptionalism: A Comparative, Empirical Analysis</w:t>
        </w:r>
      </w:hyperlink>
      <w:r>
        <w:t xml:space="preserve">.</w:t>
      </w:r>
      <w:r>
        <w:t xml:space="preserve"> </w:t>
      </w:r>
      <w:r>
        <w:rPr>
          <w:i/>
          <w:iCs/>
        </w:rPr>
        <w:t xml:space="preserve">The British Journal of Criminology</w:t>
      </w:r>
      <w:r>
        <w:t xml:space="preserve">,</w:t>
      </w:r>
      <w:r>
        <w:t xml:space="preserve"> </w:t>
      </w:r>
      <w:r>
        <w:rPr>
          <w:b/>
          <w:bCs/>
        </w:rPr>
        <w:t xml:space="preserve">63</w:t>
      </w:r>
      <w:r>
        <w:t xml:space="preserve">(2), 424–443.</w:t>
      </w:r>
    </w:p>
    <w:bookmarkEnd w:id="43"/>
    <w:bookmarkStart w:id="45" w:name="ref-daganRevisitingJusticeMoral2025"/>
    <w:p>
      <w:pPr>
        <w:pStyle w:val="Bibliography"/>
      </w:pPr>
      <w:r>
        <w:t xml:space="preserve">Dagan, N. (2025).</w:t>
      </w:r>
      <w:r>
        <w:t xml:space="preserve"> </w:t>
      </w:r>
      <w:r>
        <w:rPr>
          <w:i/>
          <w:iCs/>
        </w:rPr>
        <w:t xml:space="preserve">Revisiting Justice: The Moral Meaning of Parole</w:t>
      </w:r>
      <w:r>
        <w:t xml:space="preserve">, 1st edn, Cambridge: Cambridge University Press. doi:</w:t>
      </w:r>
      <w:hyperlink r:id="rId44">
        <w:r>
          <w:rPr>
            <w:rStyle w:val="Hyperlink"/>
          </w:rPr>
          <w:t xml:space="preserve">10.1017/9781009587709</w:t>
        </w:r>
      </w:hyperlink>
    </w:p>
    <w:bookmarkEnd w:id="45"/>
    <w:bookmarkStart w:id="47" w:name="ref-dimarcoHomicideTurningPoint2022"/>
    <w:p>
      <w:pPr>
        <w:pStyle w:val="Bibliography"/>
      </w:pPr>
      <w:r>
        <w:t xml:space="preserve">Di Marco, M. H. (2022).</w:t>
      </w:r>
      <w:r>
        <w:t xml:space="preserve"> </w:t>
      </w:r>
      <w:hyperlink r:id="rId46">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47"/>
    <w:bookmarkStart w:id="48"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48"/>
    <w:bookmarkStart w:id="49"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Palgrave Macmillan.</w:t>
      </w:r>
    </w:p>
    <w:bookmarkEnd w:id="49"/>
    <w:bookmarkStart w:id="5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50">
        <w:r>
          <w:rPr>
            <w:rStyle w:val="Hyperlink"/>
          </w:rPr>
          <w:t xml:space="preserve">10.1093/oso/9780195104295.001.0001</w:t>
        </w:r>
      </w:hyperlink>
    </w:p>
    <w:bookmarkEnd w:id="51"/>
    <w:bookmarkStart w:id="53" w:name="ref-durkheimTwoLawsPenal1973"/>
    <w:p>
      <w:pPr>
        <w:pStyle w:val="Bibliography"/>
      </w:pPr>
      <w:r>
        <w:t xml:space="preserve">Durkheim, E. (1973).</w:t>
      </w:r>
      <w:r>
        <w:t xml:space="preserve"> </w:t>
      </w:r>
      <w:hyperlink r:id="rId52">
        <w:r>
          <w:rPr>
            <w:rStyle w:val="Hyperlink"/>
          </w:rPr>
          <w:t xml:space="preserve">Two laws of penal evolution</w:t>
        </w:r>
        <w:r>
          <w:rPr>
            <w:rStyle w:val="Hyperlink"/>
            <w:vertAlign w:val="superscript"/>
          </w:rPr>
          <w:t xml:space="preserve">∗</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53"/>
    <w:bookmarkStart w:id="55" w:name="ref-dykeHowParoleBoard2020"/>
    <w:p>
      <w:pPr>
        <w:pStyle w:val="Bibliography"/>
      </w:pPr>
      <w:r>
        <w:t xml:space="preserve">Dyke, C., Schucan Bird, K., &amp; Rivas, C. (2020).</w:t>
      </w:r>
      <w:r>
        <w:t xml:space="preserve"> </w:t>
      </w:r>
      <w:hyperlink r:id="rId54">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55"/>
    <w:bookmarkStart w:id="57" w:name="ref-feeleyNewPenologyNotes1992"/>
    <w:p>
      <w:pPr>
        <w:pStyle w:val="Bibliography"/>
      </w:pPr>
      <w:r>
        <w:t xml:space="preserve">Feeley, M. M., &amp; Simon, J. (1992).</w:t>
      </w:r>
      <w:r>
        <w:t xml:space="preserve"> </w:t>
      </w:r>
      <w:hyperlink r:id="rId56">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57"/>
    <w:bookmarkStart w:id="59" w:name="Xf7caac3058b6036e15ce3ad95fbe27ac927e0b0"/>
    <w:p>
      <w:pPr>
        <w:pStyle w:val="Bibliography"/>
      </w:pPr>
      <w:r>
        <w:t xml:space="preserve">Fielding, N. G., &amp; Fielding, J. L. (2008).</w:t>
      </w:r>
      <w:r>
        <w:t xml:space="preserve"> </w:t>
      </w:r>
      <w:hyperlink r:id="rId58">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59"/>
    <w:bookmarkStart w:id="61" w:name="X4c70a7ba480f72dfb91901b19638543f794bc87"/>
    <w:p>
      <w:pPr>
        <w:pStyle w:val="Bibliography"/>
      </w:pPr>
      <w:r>
        <w:t xml:space="preserve">Flanagan, T. J. (1982).</w:t>
      </w:r>
      <w:r>
        <w:t xml:space="preserve"> </w:t>
      </w:r>
      <w:hyperlink r:id="rId60">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61"/>
    <w:bookmarkStart w:id="62" w:name="ref-foucaultDisciplinePunishBirth1995"/>
    <w:p>
      <w:pPr>
        <w:pStyle w:val="Bibliography"/>
      </w:pPr>
      <w:r>
        <w:t xml:space="preserve">Foucault, M. (1995).</w:t>
      </w:r>
      <w:r>
        <w:t xml:space="preserve"> </w:t>
      </w:r>
      <w:r>
        <w:rPr>
          <w:i/>
          <w:iCs/>
        </w:rPr>
        <w:t xml:space="preserve">Discipline and punish</w:t>
      </w:r>
      <w:r>
        <w:t xml:space="preserve">. (A. Sheridan, Trans.), Second Vintage books edition, New York: Vintage Books. (Original work published 1977)</w:t>
      </w:r>
    </w:p>
    <w:bookmarkEnd w:id="62"/>
    <w:bookmarkStart w:id="64" w:name="ref-foxChangingViolentMinds1999"/>
    <w:p>
      <w:pPr>
        <w:pStyle w:val="Bibliography"/>
      </w:pPr>
      <w:r>
        <w:t xml:space="preserve">Fox, K. J. (1999).</w:t>
      </w:r>
      <w:r>
        <w:t xml:space="preserve"> </w:t>
      </w:r>
      <w:hyperlink r:id="rId63">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64"/>
    <w:bookmarkStart w:id="65"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65"/>
    <w:bookmarkStart w:id="66" w:name="ref-goffmanAsylumsEssaysSocial1961"/>
    <w:p>
      <w:pPr>
        <w:pStyle w:val="Bibliography"/>
      </w:pPr>
      <w:r>
        <w:t xml:space="preserve">Goffman, E. (1990).</w:t>
      </w:r>
      <w:r>
        <w:t xml:space="preserve"> </w:t>
      </w:r>
      <w:r>
        <w:rPr>
          <w:i/>
          <w:iCs/>
        </w:rPr>
        <w:t xml:space="preserve">Asylums</w:t>
      </w:r>
      <w:r>
        <w:t xml:space="preserve">, New York: Doubleday.</w:t>
      </w:r>
    </w:p>
    <w:bookmarkEnd w:id="66"/>
    <w:bookmarkStart w:id="67"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 University of California Press.</w:t>
      </w:r>
    </w:p>
    <w:bookmarkEnd w:id="67"/>
    <w:bookmarkStart w:id="69" w:name="ref-hulleyMoralWeightMurder2025"/>
    <w:p>
      <w:pPr>
        <w:pStyle w:val="Bibliography"/>
      </w:pPr>
      <w:r>
        <w:t xml:space="preserve">Hulley, S. (2025).</w:t>
      </w:r>
      <w:r>
        <w:t xml:space="preserve"> </w:t>
      </w:r>
      <w:hyperlink r:id="rId68">
        <w:r>
          <w:rPr>
            <w:rStyle w:val="Hyperlink"/>
          </w:rPr>
          <w:t xml:space="preserve">The Moral Weight of Murder</w:t>
        </w:r>
      </w:hyperlink>
      <w:r>
        <w:t xml:space="preserve">.</w:t>
      </w:r>
      <w:r>
        <w:t xml:space="preserve"> </w:t>
      </w:r>
      <w:r>
        <w:rPr>
          <w:i/>
          <w:iCs/>
        </w:rPr>
        <w:t xml:space="preserve">The British Journal of Criminology</w:t>
      </w:r>
      <w:r>
        <w:t xml:space="preserve">, 0–26.</w:t>
      </w:r>
    </w:p>
    <w:bookmarkEnd w:id="69"/>
    <w:bookmarkStart w:id="71" w:name="Xefc0d666610422da87ed25de52f1e295f7b90be"/>
    <w:p>
      <w:pPr>
        <w:pStyle w:val="Bibliography"/>
      </w:pPr>
      <w:r>
        <w:t xml:space="preserve">Ievins, A. (2020). ‘Perfectly individualized and constantly visible’?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70">
        <w:r>
          <w:rPr>
            <w:rStyle w:val="Hyperlink"/>
          </w:rPr>
          <w:t xml:space="preserve">10.1177/2632666320936433</w:t>
        </w:r>
      </w:hyperlink>
    </w:p>
    <w:bookmarkEnd w:id="71"/>
    <w:bookmarkStart w:id="73" w:name="ref-ievinsStainsImprisonmentMoral2023"/>
    <w:p>
      <w:pPr>
        <w:pStyle w:val="Bibliography"/>
      </w:pPr>
      <w:r>
        <w:t xml:space="preserve">Ievins, A. (2023).</w:t>
      </w:r>
      <w:r>
        <w:t xml:space="preserve"> </w:t>
      </w:r>
      <w:r>
        <w:rPr>
          <w:i/>
          <w:iCs/>
        </w:rPr>
        <w:t xml:space="preserve">The Stains of Imprisonment</w:t>
      </w:r>
      <w:r>
        <w:t xml:space="preserve">, Oakland, CA: University of California Press. doi:</w:t>
      </w:r>
      <w:hyperlink r:id="rId72">
        <w:r>
          <w:rPr>
            <w:rStyle w:val="Hyperlink"/>
          </w:rPr>
          <w:t xml:space="preserve">10.1525/luminos.143</w:t>
        </w:r>
      </w:hyperlink>
    </w:p>
    <w:bookmarkEnd w:id="73"/>
    <w:bookmarkStart w:id="75" w:name="ref-ievinsNobodysBetterYou2015"/>
    <w:p>
      <w:pPr>
        <w:pStyle w:val="Bibliography"/>
      </w:pPr>
      <w:r>
        <w:t xml:space="preserve">Ievins, A., &amp; Crewe, B. (2015).</w:t>
      </w:r>
      <w:r>
        <w:t xml:space="preserve"> </w:t>
      </w:r>
      <w:hyperlink r:id="rId74">
        <w:r>
          <w:rPr>
            <w:rStyle w:val="Hyperlink"/>
          </w:rPr>
          <w:t xml:space="preserve">‘Nobody’s better than you, nobody’s worse than you’: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75"/>
    <w:bookmarkStart w:id="77" w:name="X85177d50acd38f5f89ed10b0bbd580224017b21"/>
    <w:p>
      <w:pPr>
        <w:pStyle w:val="Bibliography"/>
      </w:pPr>
      <w:r>
        <w:t xml:space="preserve">Ievins, A., &amp; Mjåland, K. (2021).</w:t>
      </w:r>
      <w:r>
        <w:t xml:space="preserve"> </w:t>
      </w:r>
      <w:hyperlink r:id="rId76">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77"/>
    <w:bookmarkStart w:id="78" w:name="ref-irwinPrisonsTurmoil1980"/>
    <w:p>
      <w:pPr>
        <w:pStyle w:val="Bibliography"/>
      </w:pPr>
      <w:r>
        <w:t xml:space="preserve">Irwin, J. (1980).</w:t>
      </w:r>
      <w:r>
        <w:t xml:space="preserve"> </w:t>
      </w:r>
      <w:r>
        <w:rPr>
          <w:i/>
          <w:iCs/>
        </w:rPr>
        <w:t xml:space="preserve">Prisons in turmoil</w:t>
      </w:r>
      <w:r>
        <w:t xml:space="preserve">, Boston: Little, Brown.</w:t>
      </w:r>
    </w:p>
    <w:bookmarkEnd w:id="78"/>
    <w:bookmarkStart w:id="79" w:name="ref-irwinLifersSeekingRedemption2009"/>
    <w:p>
      <w:pPr>
        <w:pStyle w:val="Bibliography"/>
      </w:pPr>
      <w:r>
        <w:t xml:space="preserve">Irwin, J. (2008).</w:t>
      </w:r>
      <w:r>
        <w:t xml:space="preserve"> </w:t>
      </w:r>
      <w:r>
        <w:rPr>
          <w:i/>
          <w:iCs/>
        </w:rPr>
        <w:t xml:space="preserve">Lifers</w:t>
      </w:r>
      <w:r>
        <w:t xml:space="preserve">, New York, NY: Routledge.</w:t>
      </w:r>
    </w:p>
    <w:bookmarkEnd w:id="79"/>
    <w:bookmarkStart w:id="81" w:name="ref-irwinThievesConvictsInmate1962"/>
    <w:p>
      <w:pPr>
        <w:pStyle w:val="Bibliography"/>
      </w:pPr>
      <w:r>
        <w:t xml:space="preserve">Irwin, J., &amp; Cressey, D. R. (1962).</w:t>
      </w:r>
      <w:r>
        <w:t xml:space="preserve"> </w:t>
      </w:r>
      <w:hyperlink r:id="rId80">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81"/>
    <w:bookmarkStart w:id="82"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82"/>
    <w:bookmarkStart w:id="84" w:name="ref-jarmanOnlyOneWay2020"/>
    <w:p>
      <w:pPr>
        <w:pStyle w:val="Bibliography"/>
      </w:pPr>
      <w:r>
        <w:t xml:space="preserve">Jarman, B. (2020).</w:t>
      </w:r>
      <w:r>
        <w:t xml:space="preserve"> </w:t>
      </w:r>
      <w:hyperlink r:id="rId83">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84"/>
    <w:bookmarkStart w:id="86" w:name="ref-jarmanMoralMessagesEthical2024"/>
    <w:p>
      <w:pPr>
        <w:pStyle w:val="Bibliography"/>
      </w:pPr>
      <w:r>
        <w:t xml:space="preserve">Jarman, B. (2024, June 6).</w:t>
      </w:r>
      <w:r>
        <w:t xml:space="preserve"> </w:t>
      </w:r>
      <w:r>
        <w:rPr>
          <w:i/>
          <w:iCs/>
        </w:rPr>
        <w:t xml:space="preserve">Moral messages, ethical responses: Punishment and self-governance among men serving life sentences for murder</w:t>
      </w:r>
      <w:r>
        <w:t xml:space="preserve"> </w:t>
      </w:r>
      <w:r>
        <w:t xml:space="preserve">(PhD), University of Cambridge, Cambridge. Retrieved from</w:t>
      </w:r>
      <w:r>
        <w:t xml:space="preserve"> </w:t>
      </w:r>
      <w:hyperlink r:id="rId85">
        <w:r>
          <w:rPr>
            <w:rStyle w:val="Hyperlink"/>
          </w:rPr>
          <w:t xml:space="preserve">https://www.repository.cam.ac.uk/handle/1810/369145</w:t>
        </w:r>
      </w:hyperlink>
    </w:p>
    <w:bookmarkEnd w:id="86"/>
    <w:bookmarkStart w:id="88"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87">
        <w:r>
          <w:rPr>
            <w:rStyle w:val="Hyperlink"/>
          </w:rPr>
          <w:t xml:space="preserve">10.1177/26326663221074263</w:t>
        </w:r>
      </w:hyperlink>
    </w:p>
    <w:bookmarkEnd w:id="88"/>
    <w:bookmarkStart w:id="90" w:name="ref-lacombeConsumedSexTreatment2008"/>
    <w:p>
      <w:pPr>
        <w:pStyle w:val="Bibliography"/>
      </w:pPr>
      <w:r>
        <w:t xml:space="preserve">Lacombe, D. (2007).</w:t>
      </w:r>
      <w:r>
        <w:t xml:space="preserve"> </w:t>
      </w:r>
      <w:hyperlink r:id="rId89">
        <w:r>
          <w:rPr>
            <w:rStyle w:val="Hyperlink"/>
          </w:rPr>
          <w:t xml:space="preserve">Consumed With Sex: The Treatment of Sex Offenders In Risk Society</w:t>
        </w:r>
      </w:hyperlink>
      <w:r>
        <w:t xml:space="preserve">.</w:t>
      </w:r>
      <w:r>
        <w:t xml:space="preserve"> </w:t>
      </w:r>
      <w:r>
        <w:rPr>
          <w:i/>
          <w:iCs/>
        </w:rPr>
        <w:t xml:space="preserve">British Journal of Criminology</w:t>
      </w:r>
      <w:r>
        <w:t xml:space="preserve">,</w:t>
      </w:r>
      <w:r>
        <w:t xml:space="preserve"> </w:t>
      </w:r>
      <w:r>
        <w:rPr>
          <w:b/>
          <w:bCs/>
        </w:rPr>
        <w:t xml:space="preserve">48</w:t>
      </w:r>
      <w:r>
        <w:t xml:space="preserve">(1), 55–74.</w:t>
      </w:r>
    </w:p>
    <w:bookmarkEnd w:id="90"/>
    <w:bookmarkStart w:id="92"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91">
        <w:r>
          <w:rPr>
            <w:rStyle w:val="Hyperlink"/>
          </w:rPr>
          <w:t xml:space="preserve">10.1177/26326663251320862</w:t>
        </w:r>
      </w:hyperlink>
    </w:p>
    <w:bookmarkEnd w:id="92"/>
    <w:bookmarkStart w:id="94"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93">
        <w:r>
          <w:rPr>
            <w:rStyle w:val="Hyperlink"/>
          </w:rPr>
          <w:t xml:space="preserve">10.1007/978-3-030-96083-4</w:t>
        </w:r>
      </w:hyperlink>
    </w:p>
    <w:bookmarkEnd w:id="94"/>
    <w:bookmarkStart w:id="95" w:name="ref-lieblingPrisonsTheirMoral2005"/>
    <w:p>
      <w:pPr>
        <w:pStyle w:val="Bibliography"/>
      </w:pPr>
      <w:r>
        <w:t xml:space="preserve">Liebling, A. (2005).</w:t>
      </w:r>
      <w:r>
        <w:t xml:space="preserve"> </w:t>
      </w:r>
      <w:r>
        <w:rPr>
          <w:i/>
          <w:iCs/>
        </w:rPr>
        <w:t xml:space="preserve">Prisons and their moral performance: a study of values, quality, and prison life</w:t>
      </w:r>
      <w:r>
        <w:t xml:space="preserve">, Oxford: Oxford University Press.</w:t>
      </w:r>
    </w:p>
    <w:bookmarkEnd w:id="95"/>
    <w:bookmarkStart w:id="97"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96">
        <w:r>
          <w:rPr>
            <w:rStyle w:val="Hyperlink"/>
          </w:rPr>
          <w:t xml:space="preserve">10.1177/26326663251320813</w:t>
        </w:r>
      </w:hyperlink>
    </w:p>
    <w:bookmarkEnd w:id="97"/>
    <w:bookmarkStart w:id="98"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98"/>
    <w:bookmarkStart w:id="100" w:name="ref-marunaWhatHaveWe2005"/>
    <w:p>
      <w:pPr>
        <w:pStyle w:val="Bibliography"/>
      </w:pPr>
      <w:r>
        <w:t xml:space="preserve">Maruna, S., &amp; Copes, H. (2005).</w:t>
      </w:r>
      <w:r>
        <w:t xml:space="preserve"> </w:t>
      </w:r>
      <w:hyperlink r:id="rId99">
        <w:r>
          <w:rPr>
            <w:rStyle w:val="Hyperlink"/>
          </w:rPr>
          <w:t xml:space="preserve">What Have We Learned from Five Decades of Neutralization Research?</w:t>
        </w:r>
      </w:hyperlink>
      <w:r>
        <w:t xml:space="preserve"> </w:t>
      </w:r>
      <w:r>
        <w:rPr>
          <w:i/>
          <w:iCs/>
        </w:rPr>
        <w:t xml:space="preserve">Crime and Justice</w:t>
      </w:r>
      <w:r>
        <w:t xml:space="preserve">,</w:t>
      </w:r>
      <w:r>
        <w:t xml:space="preserve"> </w:t>
      </w:r>
      <w:r>
        <w:rPr>
          <w:b/>
          <w:bCs/>
        </w:rPr>
        <w:t xml:space="preserve">32</w:t>
      </w:r>
      <w:r>
        <w:t xml:space="preserve">, 221–320.</w:t>
      </w:r>
    </w:p>
    <w:bookmarkEnd w:id="100"/>
    <w:bookmarkStart w:id="101"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01"/>
    <w:bookmarkStart w:id="103" w:name="ref-mcdermottMindGamesWhere1988"/>
    <w:p>
      <w:pPr>
        <w:pStyle w:val="Bibliography"/>
      </w:pPr>
      <w:r>
        <w:t xml:space="preserve">MCDERMOTT, K., &amp; KING, R. D. (1988).</w:t>
      </w:r>
      <w:r>
        <w:t xml:space="preserve"> </w:t>
      </w:r>
      <w:hyperlink r:id="rId102">
        <w:r>
          <w:rPr>
            <w:rStyle w:val="Hyperlink"/>
          </w:rPr>
          <w:t xml:space="preserve">MIND GAMES</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357–375.</w:t>
      </w:r>
    </w:p>
    <w:bookmarkEnd w:id="103"/>
    <w:bookmarkStart w:id="105" w:name="ref-mcneillFourFormsOffender2012"/>
    <w:p>
      <w:pPr>
        <w:pStyle w:val="Bibliography"/>
      </w:pPr>
      <w:r>
        <w:t xml:space="preserve">McNeill, F. (2012).</w:t>
      </w:r>
      <w:r>
        <w:t xml:space="preserve"> </w:t>
      </w:r>
      <w:hyperlink r:id="rId104">
        <w:r>
          <w:rPr>
            <w:rStyle w:val="Hyperlink"/>
          </w:rPr>
          <w:t xml:space="preserve">Four forms of ‘offender’ 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05"/>
    <w:bookmarkStart w:id="106"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06"/>
    <w:bookmarkStart w:id="108" w:name="ref-odonnellAimsImprisonment2016"/>
    <w:p>
      <w:pPr>
        <w:pStyle w:val="Bibliography"/>
      </w:pPr>
      <w:r>
        <w:t xml:space="preserve">O’Donnell, I. (2016).</w:t>
      </w:r>
      <w:r>
        <w:t xml:space="preserve"> </w:t>
      </w:r>
      <w:hyperlink r:id="rId107">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08"/>
    <w:bookmarkStart w:id="110" w:name="ref-paratoreInsightLifeCrimes2016"/>
    <w:p>
      <w:pPr>
        <w:pStyle w:val="Bibliography"/>
      </w:pPr>
      <w:r>
        <w:t xml:space="preserve">Paratore, L. (2016).</w:t>
      </w:r>
      <w:r>
        <w:t xml:space="preserve"> </w:t>
      </w:r>
      <w:hyperlink r:id="rId109">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10"/>
    <w:bookmarkStart w:id="11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11">
        <w:r>
          <w:rPr>
            <w:rStyle w:val="Hyperlink"/>
          </w:rPr>
          <w:t xml:space="preserve">https://www.sentencingacademy.org.uk/wp-content/uploads/2025/04/Measuring-Sentence-Inflation-in-England-and-Wales.pdf</w:t>
        </w:r>
      </w:hyperlink>
    </w:p>
    <w:bookmarkEnd w:id="112"/>
    <w:bookmarkStart w:id="113"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13"/>
    <w:bookmarkStart w:id="115" w:name="X376f4432f0a458a8ef978d63ff7e061be0d74ef"/>
    <w:p>
      <w:pPr>
        <w:pStyle w:val="Bibliography"/>
      </w:pPr>
      <w:r>
        <w:t xml:space="preserve">Schinkel, M. (2014).</w:t>
      </w:r>
      <w:r>
        <w:t xml:space="preserve"> </w:t>
      </w:r>
      <w:r>
        <w:rPr>
          <w:i/>
          <w:iCs/>
        </w:rPr>
        <w:t xml:space="preserve">Being Imprisoned</w:t>
      </w:r>
      <w:r>
        <w:t xml:space="preserve">, 1st edn, Houndmills: Palgrave Macmillan. doi:</w:t>
      </w:r>
      <w:hyperlink r:id="rId114">
        <w:r>
          <w:rPr>
            <w:rStyle w:val="Hyperlink"/>
          </w:rPr>
          <w:t xml:space="preserve">10.1057/9781137440839</w:t>
        </w:r>
      </w:hyperlink>
    </w:p>
    <w:bookmarkEnd w:id="115"/>
    <w:bookmarkStart w:id="117"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16">
        <w:r>
          <w:rPr>
            <w:rStyle w:val="Hyperlink"/>
          </w:rPr>
          <w:t xml:space="preserve">10.1177/2632666321989018</w:t>
        </w:r>
      </w:hyperlink>
    </w:p>
    <w:bookmarkEnd w:id="117"/>
    <w:bookmarkStart w:id="119" w:name="ref-schragLeadershipPrisonInmates1954"/>
    <w:p>
      <w:pPr>
        <w:pStyle w:val="Bibliography"/>
      </w:pPr>
      <w:r>
        <w:t xml:space="preserve">Schrag, C. (1954).</w:t>
      </w:r>
      <w:r>
        <w:t xml:space="preserve"> </w:t>
      </w:r>
      <w:hyperlink r:id="rId118">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w:t>
      </w:r>
    </w:p>
    <w:bookmarkEnd w:id="119"/>
    <w:bookmarkStart w:id="121" w:name="ref-seedsHopeLifeSentence2022"/>
    <w:p>
      <w:pPr>
        <w:pStyle w:val="Bibliography"/>
      </w:pPr>
      <w:r>
        <w:t xml:space="preserve">Seeds, C. (2021).</w:t>
      </w:r>
      <w:r>
        <w:t xml:space="preserve"> </w:t>
      </w:r>
      <w:hyperlink r:id="rId120">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21"/>
    <w:bookmarkStart w:id="123" w:name="ref-shammasPerilsParoleHearings2019"/>
    <w:p>
      <w:pPr>
        <w:pStyle w:val="Bibliography"/>
      </w:pPr>
      <w:r>
        <w:t xml:space="preserve">Shammas, V. L. (2019).</w:t>
      </w:r>
      <w:r>
        <w:t xml:space="preserve"> </w:t>
      </w:r>
      <w:hyperlink r:id="rId122">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23"/>
    <w:bookmarkStart w:id="124" w:name="ref-skarbekPuzzlePrisonOrder2020"/>
    <w:p>
      <w:pPr>
        <w:pStyle w:val="Bibliography"/>
      </w:pPr>
      <w:r>
        <w:t xml:space="preserve">Skarbek, D. (2020).</w:t>
      </w:r>
      <w:r>
        <w:t xml:space="preserve"> </w:t>
      </w:r>
      <w:r>
        <w:rPr>
          <w:i/>
          <w:iCs/>
        </w:rPr>
        <w:t xml:space="preserve">The Puzzle of Prison Order</w:t>
      </w:r>
      <w:r>
        <w:t xml:space="preserve">, Oxford: Oxford University Press.</w:t>
      </w:r>
    </w:p>
    <w:bookmarkEnd w:id="124"/>
    <w:bookmarkStart w:id="126" w:name="ref-sparksCanPrisonsBe1994"/>
    <w:p>
      <w:pPr>
        <w:pStyle w:val="Bibliography"/>
      </w:pPr>
      <w:r>
        <w:t xml:space="preserve">Sparks, R. (1994).</w:t>
      </w:r>
      <w:r>
        <w:t xml:space="preserve"> </w:t>
      </w:r>
      <w:hyperlink r:id="rId125">
        <w:r>
          <w:rPr>
            <w:rStyle w:val="Hyperlink"/>
          </w:rPr>
          <w:t xml:space="preserve">Can prisons be legitimate?</w:t>
        </w:r>
      </w:hyperlink>
      <w:r>
        <w:t xml:space="preserve"> </w:t>
      </w:r>
      <w:r>
        <w:rPr>
          <w:i/>
          <w:iCs/>
        </w:rPr>
        <w:t xml:space="preserve">The British Journal of Criminology</w:t>
      </w:r>
      <w:r>
        <w:t xml:space="preserve">,</w:t>
      </w:r>
      <w:r>
        <w:t xml:space="preserve"> </w:t>
      </w:r>
      <w:r>
        <w:rPr>
          <w:b/>
          <w:bCs/>
        </w:rPr>
        <w:t xml:space="preserve">34</w:t>
      </w:r>
      <w:r>
        <w:t xml:space="preserve">(S1), 14–28.</w:t>
      </w:r>
    </w:p>
    <w:bookmarkEnd w:id="126"/>
    <w:bookmarkStart w:id="128" w:name="ref-sparksPrisonsProblemOrder1996"/>
    <w:p>
      <w:pPr>
        <w:pStyle w:val="Bibliography"/>
      </w:pPr>
      <w:r>
        <w:t xml:space="preserve">Sparks, R. (1996).</w:t>
      </w:r>
      <w:r>
        <w:t xml:space="preserve"> </w:t>
      </w:r>
      <w:r>
        <w:rPr>
          <w:i/>
          <w:iCs/>
        </w:rPr>
        <w:t xml:space="preserve">Prisons and the problem of order</w:t>
      </w:r>
      <w:r>
        <w:t xml:space="preserve">, Oxford: Clarendon. doi:</w:t>
      </w:r>
      <w:hyperlink r:id="rId127">
        <w:r>
          <w:rPr>
            <w:rStyle w:val="Hyperlink"/>
          </w:rPr>
          <w:t xml:space="preserve">10.1093/acprof:oso/9780198258186.001.0001</w:t>
        </w:r>
      </w:hyperlink>
    </w:p>
    <w:bookmarkEnd w:id="128"/>
    <w:bookmarkStart w:id="130"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129">
        <w:r>
          <w:rPr>
            <w:rStyle w:val="Hyperlink"/>
          </w:rPr>
          <w:t xml:space="preserve">10.4324/9780203101124</w:t>
        </w:r>
      </w:hyperlink>
    </w:p>
    <w:bookmarkEnd w:id="130"/>
    <w:bookmarkStart w:id="131"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31"/>
    <w:bookmarkStart w:id="133" w:name="X49f9d481cf94d0893662ed622409211b7aecca0"/>
    <w:p>
      <w:pPr>
        <w:pStyle w:val="Bibliography"/>
      </w:pPr>
      <w:r>
        <w:t xml:space="preserve">Sykes, G. M., &amp; Matza, D. (1957).</w:t>
      </w:r>
      <w:r>
        <w:t xml:space="preserve"> </w:t>
      </w:r>
      <w:hyperlink r:id="rId132">
        <w:r>
          <w:rPr>
            <w:rStyle w:val="Hyperlink"/>
          </w:rPr>
          <w:t xml:space="preserve">Techniques of Neutralization: A Theory of Delinquency</w:t>
        </w:r>
      </w:hyperlink>
      <w:r>
        <w:t xml:space="preserve">.</w:t>
      </w:r>
      <w:r>
        <w:t xml:space="preserve"> </w:t>
      </w:r>
      <w:r>
        <w:rPr>
          <w:i/>
          <w:iCs/>
        </w:rPr>
        <w:t xml:space="preserve">American Sociological Review</w:t>
      </w:r>
      <w:r>
        <w:t xml:space="preserve">,</w:t>
      </w:r>
      <w:r>
        <w:t xml:space="preserve"> </w:t>
      </w:r>
      <w:r>
        <w:rPr>
          <w:b/>
          <w:bCs/>
        </w:rPr>
        <w:t xml:space="preserve">22</w:t>
      </w:r>
      <w:r>
        <w:t xml:space="preserve">(6), 664–670.</w:t>
      </w:r>
    </w:p>
    <w:bookmarkEnd w:id="133"/>
    <w:bookmarkStart w:id="135" w:name="ref-tasioulasRepentanceLiberalState2007"/>
    <w:p>
      <w:pPr>
        <w:pStyle w:val="Bibliography"/>
      </w:pPr>
      <w:r>
        <w:t xml:space="preserve">Tasioulas, J. (2007).</w:t>
      </w:r>
      <w:r>
        <w:t xml:space="preserve"> </w:t>
      </w:r>
      <w:hyperlink r:id="rId134">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35"/>
    <w:bookmarkStart w:id="136" w:name="ref-tynanYoungMensExperiences2019"/>
    <w:p>
      <w:pPr>
        <w:pStyle w:val="Bibliography"/>
      </w:pPr>
      <w:r>
        <w:t xml:space="preserve">Tynan, R. R. (2019).</w:t>
      </w:r>
      <w:r>
        <w:t xml:space="preserve"> </w:t>
      </w:r>
      <w:r>
        <w:rPr>
          <w:i/>
          <w:iCs/>
        </w:rPr>
        <w:t xml:space="preserve">Young men’s experiences of long-term imprisonment: living life</w:t>
      </w:r>
      <w:r>
        <w:t xml:space="preserve">, 1st edn, Abingdon: Routledge.</w:t>
      </w:r>
    </w:p>
    <w:bookmarkEnd w:id="136"/>
    <w:bookmarkStart w:id="138" w:name="ref-ugelvikPrisonersTheirVictims2012"/>
    <w:p>
      <w:pPr>
        <w:pStyle w:val="Bibliography"/>
      </w:pPr>
      <w:r>
        <w:t xml:space="preserve">Ugelvik, T. (2012).</w:t>
      </w:r>
      <w:r>
        <w:t xml:space="preserve"> </w:t>
      </w:r>
      <w:hyperlink r:id="rId137">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38"/>
    <w:bookmarkStart w:id="140" w:name="ref-ugelvikRapistProperCriminal2015"/>
    <w:p>
      <w:pPr>
        <w:pStyle w:val="Bibliography"/>
      </w:pPr>
      <w:r>
        <w:t xml:space="preserve">Ugelvik, T. (2015).</w:t>
      </w:r>
      <w:r>
        <w:t xml:space="preserve"> </w:t>
      </w:r>
      <w:hyperlink r:id="rId139">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New York University Press, pp. 23–41.</w:t>
      </w:r>
    </w:p>
    <w:bookmarkEnd w:id="140"/>
    <w:bookmarkStart w:id="142" w:name="ref-vonhirschPunishmentPenanceState2005"/>
    <w:p>
      <w:pPr>
        <w:pStyle w:val="Bibliography"/>
      </w:pPr>
      <w:r>
        <w:t xml:space="preserve">Von Hirsch, A. (2005).</w:t>
      </w:r>
      <w:r>
        <w:t xml:space="preserve"> </w:t>
      </w:r>
      <w:hyperlink r:id="rId141">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42"/>
    <w:bookmarkStart w:id="144" w:name="ref-waldramEverybodyHasStory2007"/>
    <w:p>
      <w:pPr>
        <w:pStyle w:val="Bibliography"/>
      </w:pPr>
      <w:r>
        <w:t xml:space="preserve">Waldram, J. B. (2007).</w:t>
      </w:r>
      <w:r>
        <w:t xml:space="preserve"> </w:t>
      </w:r>
      <w:hyperlink r:id="rId143">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44"/>
    <w:bookmarkEnd w:id="145"/>
    <w:bookmarkEnd w:id="14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norm is often not explicit in methodological reflections, but we have discussed it with many other prison researchers and are confident that how we have articulated it here is consistent with the messages that most junior scholars absorb.</w:t>
      </w:r>
    </w:p>
  </w:footnote>
  <w:footnote w:id="12">
    <w:p>
      <w:pPr>
        <w:pStyle w:val="FootnoteText"/>
      </w:pPr>
      <w:r>
        <w:rPr>
          <w:rStyle w:val="FootnoteReference"/>
        </w:rPr>
        <w:footnoteRef/>
      </w:r>
      <w:r>
        <w:t xml:space="preserve"> </w:t>
      </w:r>
      <w:r>
        <w:t xml:space="preserve">There is, of course, research which interviews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14">
    <w:p>
      <w:pPr>
        <w:pStyle w:val="FootnoteText"/>
      </w:pPr>
      <w:r>
        <w:rPr>
          <w:rStyle w:val="FootnoteReference"/>
        </w:rPr>
        <w:footnoteRef/>
      </w:r>
      <w:r>
        <w:t xml:space="preserve"> </w:t>
      </w:r>
      <w:r>
        <w:t xml:space="preserve">All names are pseudonyms, and we have changed any potentially identifying features.</w:t>
      </w:r>
    </w:p>
  </w:footnote>
  <w:footnote w:id="15">
    <w:p>
      <w:pPr>
        <w:pStyle w:val="FootnoteText"/>
      </w:pPr>
      <w:r>
        <w:rPr>
          <w:rStyle w:val="FootnoteReference"/>
        </w:rPr>
        <w:footnoteRef/>
      </w:r>
      <w:r>
        <w:t xml:space="preserve"> </w:t>
      </w:r>
      <w:r>
        <w:t xml:space="preserve">1,100: the population, approximately, of the prison where Mick was held.</w:t>
      </w:r>
    </w:p>
  </w:footnote>
  <w:footnote w:id="20">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 w:id="22">
    <w:p>
      <w:pPr>
        <w:pStyle w:val="FootnoteText"/>
      </w:pPr>
      <w:r>
        <w:rPr>
          <w:rStyle w:val="FootnoteReference"/>
        </w:rPr>
        <w:footnoteRef/>
      </w:r>
      <w:r>
        <w:t xml:space="preserve"> </w:t>
      </w:r>
      <w:r>
        <w:t xml:space="preserve">We thank an anonymous reviewer for pushing us to strengthen this point.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34" Target="http://hdl.handle.net/1811/73044" TargetMode="External" /><Relationship Type="http://schemas.openxmlformats.org/officeDocument/2006/relationships/hyperlink" Id="rId54" Target="https://doi.org/10.1002/cbm.2183" TargetMode="External" /><Relationship Type="http://schemas.openxmlformats.org/officeDocument/2006/relationships/hyperlink" Id="rId93" Target="https://doi.org/10.1007/978-3-030-96083-4" TargetMode="External" /><Relationship Type="http://schemas.openxmlformats.org/officeDocument/2006/relationships/hyperlink" Id="rId44" Target="https://doi.org/10.1017/9781009587709" TargetMode="External" /><Relationship Type="http://schemas.openxmlformats.org/officeDocument/2006/relationships/hyperlink" Id="rId38" Target="https://doi.org/10.1057/9781137403889_7" TargetMode="External" /><Relationship Type="http://schemas.openxmlformats.org/officeDocument/2006/relationships/hyperlink" Id="rId114" Target="https://doi.org/10.1057/9781137440839" TargetMode="External" /><Relationship Type="http://schemas.openxmlformats.org/officeDocument/2006/relationships/hyperlink" Id="rId52" Target="https://doi.org/10.1080/03085147300000014" TargetMode="External" /><Relationship Type="http://schemas.openxmlformats.org/officeDocument/2006/relationships/hyperlink" Id="rId99" Target="https://doi.org/10.1086/655355" TargetMode="External" /><Relationship Type="http://schemas.openxmlformats.org/officeDocument/2006/relationships/hyperlink" Id="rId127" Target="https://doi.org/10.1093/acprof:oso/9780198258186.001.0001" TargetMode="External" /><Relationship Type="http://schemas.openxmlformats.org/officeDocument/2006/relationships/hyperlink" Id="rId31" Target="https://doi.org/10.1093/acprof:oso/9780199577965.001.0001/" TargetMode="External" /><Relationship Type="http://schemas.openxmlformats.org/officeDocument/2006/relationships/hyperlink" Id="rId83" Target="https://doi.org/10.1093/bjc/azaa036" TargetMode="External" /><Relationship Type="http://schemas.openxmlformats.org/officeDocument/2006/relationships/hyperlink" Id="rId120" Target="https://doi.org/10.1093/bjc/azab037" TargetMode="External" /><Relationship Type="http://schemas.openxmlformats.org/officeDocument/2006/relationships/hyperlink" Id="rId42" Target="https://doi.org/10.1093/bjc/azac013" TargetMode="External" /><Relationship Type="http://schemas.openxmlformats.org/officeDocument/2006/relationships/hyperlink" Id="rId68" Target="https://doi.org/10.1093/bjc/azaf089" TargetMode="External" /><Relationship Type="http://schemas.openxmlformats.org/officeDocument/2006/relationships/hyperlink" Id="rId89" Target="https://doi.org/10.1093/bjc/azm051" TargetMode="External" /><Relationship Type="http://schemas.openxmlformats.org/officeDocument/2006/relationships/hyperlink" Id="rId35" Target="https://doi.org/10.1093/bjc/azw088" TargetMode="External" /><Relationship Type="http://schemas.openxmlformats.org/officeDocument/2006/relationships/hyperlink" Id="rId50" Target="https://doi.org/10.1093/oso/9780195104295.001.0001" TargetMode="External" /><Relationship Type="http://schemas.openxmlformats.org/officeDocument/2006/relationships/hyperlink" Id="rId125" Target="https://doi.org/10.1093/oxfordjournals.bjc.34.s1.14" TargetMode="External" /><Relationship Type="http://schemas.openxmlformats.org/officeDocument/2006/relationships/hyperlink" Id="rId102" Target="https://doi.org/10.1093/oxfordjournals.bjc.a047734" TargetMode="External" /><Relationship Type="http://schemas.openxmlformats.org/officeDocument/2006/relationships/hyperlink" Id="rId76" Target="https://doi.org/10.1111/1745-9125.12276" TargetMode="External" /><Relationship Type="http://schemas.openxmlformats.org/officeDocument/2006/relationships/hyperlink" Id="rId24" Target="https://doi.org/10.1111/hojo.12015" TargetMode="External" /><Relationship Type="http://schemas.openxmlformats.org/officeDocument/2006/relationships/hyperlink" Id="rId26" Target="https://doi.org/10.1111/j.1468-2311.2010.00615.x" TargetMode="External" /><Relationship Type="http://schemas.openxmlformats.org/officeDocument/2006/relationships/hyperlink" Id="rId56" Target="https://doi.org/10.1111/j.1745-9125.1992.tb01112.x" TargetMode="External" /><Relationship Type="http://schemas.openxmlformats.org/officeDocument/2006/relationships/hyperlink" Id="rId104" Target="https://doi.org/10.1111/j.2044-8333.2011.02039.x" TargetMode="External" /><Relationship Type="http://schemas.openxmlformats.org/officeDocument/2006/relationships/hyperlink" Id="rId122" Target="https://doi.org/10.1111/plar.12275" TargetMode="External" /><Relationship Type="http://schemas.openxmlformats.org/officeDocument/2006/relationships/hyperlink" Id="rId60" Target="https://doi.org/10.1177/001112878202800106" TargetMode="External" /><Relationship Type="http://schemas.openxmlformats.org/officeDocument/2006/relationships/hyperlink" Id="rId143" Target="https://doi.org/10.1177/1049732307306014" TargetMode="External" /><Relationship Type="http://schemas.openxmlformats.org/officeDocument/2006/relationships/hyperlink" Id="rId33" Target="https://doi.org/10.1177/1462474511422172" TargetMode="External" /><Relationship Type="http://schemas.openxmlformats.org/officeDocument/2006/relationships/hyperlink" Id="rId74" Target="https://doi.org/10.1177/1462474515603803" TargetMode="External" /><Relationship Type="http://schemas.openxmlformats.org/officeDocument/2006/relationships/hyperlink" Id="rId40" Target="https://doi.org/10.1177/1462474520928115" TargetMode="External" /><Relationship Type="http://schemas.openxmlformats.org/officeDocument/2006/relationships/hyperlink" Id="rId137" Target="https://doi.org/10.1177/1466138111435447" TargetMode="External" /><Relationship Type="http://schemas.openxmlformats.org/officeDocument/2006/relationships/hyperlink" Id="rId70" Target="https://doi.org/10.1177/2632666320936433" TargetMode="External" /><Relationship Type="http://schemas.openxmlformats.org/officeDocument/2006/relationships/hyperlink" Id="rId116" Target="https://doi.org/10.1177/2632666321989018" TargetMode="External" /><Relationship Type="http://schemas.openxmlformats.org/officeDocument/2006/relationships/hyperlink" Id="rId87" Target="https://doi.org/10.1177/26326663221074263" TargetMode="External" /><Relationship Type="http://schemas.openxmlformats.org/officeDocument/2006/relationships/hyperlink" Id="rId96" Target="https://doi.org/10.1177/26326663251320813" TargetMode="External" /><Relationship Type="http://schemas.openxmlformats.org/officeDocument/2006/relationships/hyperlink" Id="rId91" Target="https://doi.org/10.1177/26326663251320862" TargetMode="External" /><Relationship Type="http://schemas.openxmlformats.org/officeDocument/2006/relationships/hyperlink" Id="rId72" Target="https://doi.org/10.1525/luminos.143" TargetMode="External" /><Relationship Type="http://schemas.openxmlformats.org/officeDocument/2006/relationships/hyperlink" Id="rId139" Target="https://doi.org/10.18574/nyu/9781479876778.003.0002" TargetMode="External" /><Relationship Type="http://schemas.openxmlformats.org/officeDocument/2006/relationships/hyperlink" Id="rId46" Target="https://doi.org/10.18778/1733-8077.18.4.06" TargetMode="External" /><Relationship Type="http://schemas.openxmlformats.org/officeDocument/2006/relationships/hyperlink" Id="rId118" Target="https://doi.org/10.2307/2088170" TargetMode="External" /><Relationship Type="http://schemas.openxmlformats.org/officeDocument/2006/relationships/hyperlink" Id="rId132" Target="https://doi.org/10.2307/2089195" TargetMode="External" /><Relationship Type="http://schemas.openxmlformats.org/officeDocument/2006/relationships/hyperlink" Id="rId63" Target="https://doi.org/10.2307/3097163" TargetMode="External" /><Relationship Type="http://schemas.openxmlformats.org/officeDocument/2006/relationships/hyperlink" Id="rId80" Target="https://doi.org/10.2307/799047" TargetMode="External" /><Relationship Type="http://schemas.openxmlformats.org/officeDocument/2006/relationships/hyperlink" Id="rId129" Target="https://doi.org/10.4324/9780203101124" TargetMode="External" /><Relationship Type="http://schemas.openxmlformats.org/officeDocument/2006/relationships/hyperlink" Id="rId141" Target="https://doi.org/10.4324/9780203986820-32" TargetMode="External" /><Relationship Type="http://schemas.openxmlformats.org/officeDocument/2006/relationships/hyperlink" Id="rId107" Target="https://doi.org/10.4324/9781315797779" TargetMode="External" /><Relationship Type="http://schemas.openxmlformats.org/officeDocument/2006/relationships/hyperlink" Id="rId109" Target="https://heinonline.org/HOL/P?h=hein.journals/bjcl21&amp;i=95" TargetMode="External" /><Relationship Type="http://schemas.openxmlformats.org/officeDocument/2006/relationships/hyperlink" Id="rId58" Target="https://www.jstor.org/stable/20762302" TargetMode="External" /><Relationship Type="http://schemas.openxmlformats.org/officeDocument/2006/relationships/hyperlink" Id="rId85" Target="https://www.repository.cam.ac.uk/handle/1810/369145" TargetMode="External" /><Relationship Type="http://schemas.openxmlformats.org/officeDocument/2006/relationships/hyperlink" Id="rId111"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are you in for?”</dc:title>
  <dc:creator>Ben Jarman</dc:creator>
  <dc:description>A journal article accepted for publication in Incarceration: An international journal of imprisonment, detention and coercive confinement</dc:description>
  <dc:language>en-GB</dc:language>
  <cp:keywords>prison sociology, moral communication, punishment, prison ethnography, legitimacy, adaptation</cp:keywords>
  <dcterms:created xsi:type="dcterms:W3CDTF">2026-04-10T21:19:33Z</dcterms:created>
  <dcterms:modified xsi:type="dcterms:W3CDTF">2026-04-10T21:19:33Z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originating reason for incarceration—the offence—from sociological analyses of carceral life. We examine its past treatment in prison scholarship and argue for recentring it. Drawing on three case studies, we show how the offence actively shapes daily experience, institutional engagement, and social dynamics. Our framework explores how attention to the offence can illuminate what prisons are like, what they do through moral communication, and what they are for as sites of punishment. Our analysis suggests that attending to the offence can enrich our understanding of adaptation, compliance, and legitimacy, and more generally add to our understanding of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jarmanWhatAreYou2026.yaml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2026-04-10</vt:lpwstr>
  </property>
  <property fmtid="{D5CDD505-2E9C-101B-9397-08002B2CF9AE}" pid="15" name="date-format">
    <vt:lpwstr>iso</vt:lpwstr>
  </property>
  <property fmtid="{D5CDD505-2E9C-101B-9397-08002B2CF9AE}" pid="16" name="doi">
    <vt:lpwstr>10.1177/26326663261442087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neglected role of the offence in prison sociology</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https://eprints.soton.ac.uk/id/eprint/507473</vt:lpwstr>
  </property>
</Properties>
</file>