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is the text of a keynote lecture given in July 2024 to the yearly meeting of British Quakers, as delivered. A publication expanding on it is in preparation and will appear in 2025. The lecture can also be</w:t>
            </w:r>
            <w:r>
              <w:t xml:space="preserve"> </w:t>
            </w:r>
            <w:hyperlink r:id="rId23">
              <w:r>
                <w:rPr>
                  <w:rStyle w:val="Hyperlink"/>
                </w:rPr>
                <w:t xml:space="preserve">viewed on YouTube</w:t>
              </w:r>
            </w:hyperlink>
            <w:r>
              <w:t xml:space="preserve">.</w:t>
            </w:r>
          </w:p>
          <w:p>
            <w:pPr>
              <w:pStyle w:val="BodyText"/>
            </w:pPr>
            <w:pPr>
              <w:spacing w:after="16"/>
            </w:pPr>
            <w:hyperlink r:id="rId23">
              <w:r>
                <w:rPr>
                  <w:rStyle w:val="Hyperlink"/>
                </w:rPr>
                <w:t xml:space="preserve">https://www.youtube.com/watch?v=vwqolkC0nnc</w:t>
              </w:r>
            </w:hyperlink>
          </w:p>
        </w:tc>
      </w:tr>
    </w:tbl>
    <w:p>
      <w:r>
        <w:br w:type="page"/>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which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w:t>
      </w:r>
      <w:r>
        <w:t xml:space="preserve"> </w:t>
      </w:r>
      <w:r>
        <w:t xml:space="preserve">(</w:t>
      </w:r>
      <w:hyperlink w:anchor="ref-afscStruggleJusticeReport1971">
        <w:r>
          <w:rPr>
            <w:rStyle w:val="Hyperlink"/>
          </w:rPr>
          <w:t xml:space="preserve">1971</w:t>
        </w:r>
      </w:hyperlink>
      <w:r>
        <w:t xml:space="preserve">)</w:t>
      </w:r>
      <w:r>
        <w:t xml:space="preserve"> </w:t>
      </w:r>
      <w:r>
        <w:t xml:space="preserve">report,</w:t>
      </w:r>
      <w:r>
        <w:t xml:space="preserve"> </w:t>
      </w:r>
      <w:r>
        <w:rPr>
          <w:i/>
          <w:iCs/>
        </w:rPr>
        <w:t xml:space="preserve">Struggle for Justice</w:t>
      </w:r>
      <w:r>
        <w:t xml:space="preserve"> </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 Like these two women, I found the answer to anger was to yield, to accept that it pointed to something terribly wrong: a wrong without justice, a wrong unavenged.</w:t>
      </w:r>
    </w:p>
    <w:p>
      <w:pPr>
        <w:pStyle w:val="BodyText"/>
      </w:pPr>
      <w:r>
        <w:t xml:space="preserve">I found some words from the 1987 Swarthmore Lecture,</w:t>
      </w:r>
      <w:r>
        <w:rPr>
          <w:rStyle w:val="FootnoteReference"/>
        </w:rPr>
        <w:footnoteReference w:id="36"/>
      </w:r>
      <w:r>
        <w:t xml:space="preserve"> </w:t>
      </w:r>
      <w:r>
        <w:t xml:space="preserve">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 He suggests that as citizens, we have surrendered the entitlement to rights wrongs, and entrusted it to the state.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making: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fiery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A lengthy extract can be found in Quaker Faith &amp; Practice, at 23.103.</w:t>
      </w:r>
    </w:p>
  </w:footnote>
  <w:footnote w:id="37">
    <w:p>
      <w:pPr>
        <w:pStyle w:val="FootnoteText"/>
      </w:pPr>
      <w:r>
        <w:rPr>
          <w:rStyle w:val="FootnoteReference"/>
        </w:rPr>
        <w:footnoteRef/>
      </w:r>
      <w:r>
        <w:t xml:space="preserve"> </w:t>
      </w:r>
      <w:r>
        <w:t xml:space="preserve">This is a fiction, of course, but a useful one. None of us has ever actually said, as Lampen puts it,</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Even states do this sometimes, for example when they carry out targeted assassinations of their political enemies, using drones or other means. All of these situations are exercises of power without accountability, and many of the underlying conflicts could be handled using techniques such as restorative justice. But these are not always suitable where those involved do not consent to participate, and punishment is the fall-back. Lampen is reminding us that even if we don’t necessarily want to retaliate, it’s normal to feel powerful emotions if we are wronged—anger, blame,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 or if its actions are disproportionate.</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almost no legal possibility of release. The penalty is lifelong—almost akin to death by imprisonment. The other 8,000 or so lifers, on reaching the end of the penalty, can apply to the Parole Board for their case to be considered, with the release decision based on a risk assessment. The legal test is whether the Board believes it is necessary for the protection of the public that the prisoner remains in custody.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in Quaker Faith &amp; Practice, at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2025-02-13T12:42:29Z</dcterms:created>
  <dcterms:modified xsi:type="dcterms:W3CDTF">2025-02-13T12:42:29Z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