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was the text of a keynote lecture given in July 2024 to the annual meeting of British Quakers, in London. The text below is the lecture as delivered. A publication expanding it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delivered at the 2024 annual meeting of British Quakers.</dc:description>
  <dc:language>en-GB</dc:language>
  <cp:keywords>long-term-imprisonment, punishment, quakerism, 2019 london bridge attack</cp:keywords>
  <dcterms:created xsi:type="dcterms:W3CDTF">2024-11-27T14:32:15Z</dcterms:created>
  <dcterms:modified xsi:type="dcterms:W3CDTF">2024-11-27T14:32:15Z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