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sdt>
      <w:sdtPr>
        <w:docPartObj>
          <w:docPartGallery w:val="List of Tables"/>
          <w:docPartUnique/>
        </w:docPartObj>
      </w:sdtPr>
      <w:sdtContent>
        <w:p>
          <w:pPr>
            <w:pStyle w:val="TOCHeading"/>
          </w:pPr>
          <w:r>
            <w:t xml:space="preserve">List of Tables</w:t>
          </w:r>
        </w:p>
        <w:p>
          <w:r>
            <w:fldChar w:fldCharType="begin" w:dirty="true"/>
            <w:instrText xml:space="preserve">TOC \h \z \t "Table Caption" \c</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2025-06-19T09:53:42Z</dcterms:created>
  <dcterms:modified xsi:type="dcterms:W3CDTF">2025-06-19T09:53:42Z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False</vt:lpwstr>
  </property>
  <property fmtid="{D5CDD505-2E9C-101B-9397-08002B2CF9AE}" pid="29" name="subtitle">
    <vt:lpwstr>Adaptation, risk, and reform later in the life course</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https://www.crimeandjustice.org.uk/sites/crimeandjustice.org.uk/files/PSJ%20261%2C%20Mature%20adulthood.pdf</vt:lpwstr>
  </property>
</Properties>
</file>