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1" w:name="availability"/>
    <w:p>
      <w:pPr>
        <w:pStyle w:val="Heading1"/>
      </w:pPr>
      <w:r>
        <w:t xml:space="preserve">Availability</w:t>
      </w:r>
    </w:p>
    <w:p>
      <w:pPr>
        <w:pStyle w:val="FirstParagraph"/>
      </w:pPr>
      <w:r>
        <w:t xml:space="preserve">Embargoed but can be requested from</w:t>
      </w:r>
      <w:r>
        <w:t xml:space="preserve"> </w:t>
      </w:r>
      <w:hyperlink r:id="rId20">
        <w:r>
          <w:rPr>
            <w:rStyle w:val="Hyperlink"/>
          </w:rPr>
          <w:t xml:space="preserve">https://www.repository.cam.ac.uk/handle/1810/369145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2024-11-29T14:25:01Z</dcterms:created>
  <dcterms:modified xsi:type="dcterms:W3CDTF">2024-11-29T14:25:01Z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Punishment and self-governance among men serving life sentences for murder</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