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Scandal and reform, 1960-2016</w:t>
      </w:r>
    </w:p>
    <w:p>
      <w:pPr>
        <w:pStyle w:val="Subtitle"/>
      </w:pPr>
      <w:r>
        <w:t xml:space="preserve">Can better policies guarantee child welfare in secure custody?</w:t>
      </w:r>
    </w:p>
    <w:p>
      <w:pPr>
        <w:pStyle w:val="Author"/>
      </w:pPr>
      <w:r>
        <w:t xml:space="preserve">Ben Jarman</w:t>
      </w:r>
    </w:p>
    <w:p>
      <w:pPr>
        <w:pStyle w:val="Date"/>
      </w:pPr>
      <w:r>
        <w:t xml:space="preserve">2018-10-18</w:t>
      </w:r>
    </w:p>
    <w:p>
      <w:pPr>
        <w:pStyle w:val="AbstractTitle"/>
      </w:pPr>
      <w:r>
        <w:t xml:space="preserve">Abstract</w:t>
      </w:r>
    </w:p>
    <w:p>
      <w:pPr>
        <w:pStyle w:val="Abstract"/>
      </w:pPr>
      <w:r>
        <w:t xml:space="preserve">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w:t>
      </w:r>
      <w:r>
        <w:t xml:space="preserve"> </w:t>
      </w:r>
      <w:r>
        <w:t xml:space="preserve">‘bad apples’</w:t>
      </w:r>
      <w:r>
        <w:t xml:space="preserve">. Instead, the actions of</w:t>
      </w:r>
      <w:r>
        <w:t xml:space="preserve"> </w:t>
      </w:r>
      <w:r>
        <w:t xml:space="preserve">‘bad apples’</w:t>
      </w:r>
      <w:r>
        <w:t xml:space="preserve"> </w:t>
      </w:r>
      <w:r>
        <w:t xml:space="preserve">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w:t>
      </w:r>
      <w:r>
        <w:t xml:space="preserve"> </w:t>
      </w:r>
      <w:r>
        <w:t xml:space="preserve">‘bad apples’</w:t>
      </w:r>
      <w:r>
        <w:t xml:space="preserve"> </w:t>
      </w:r>
      <w:r>
        <w:t xml:space="preserve">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w:t>
      </w:r>
    </w:p>
    <w:bookmarkStart w:id="21" w:name="availability"/>
    <w:p>
      <w:pPr>
        <w:pStyle w:val="Heading1"/>
      </w:pPr>
      <w:r>
        <w:t xml:space="preserve">Availability</w:t>
      </w:r>
    </w:p>
    <w:p>
      <w:pPr>
        <w:pStyle w:val="FirstParagraph"/>
      </w:pPr>
      <w:r>
        <w:t xml:space="preserve">Available via the publisher’s website at</w:t>
      </w:r>
      <w:r>
        <w:t xml:space="preserve"> </w:t>
      </w:r>
      <w:hyperlink r:id="rId20">
        <w:r>
          <w:rPr>
            <w:rStyle w:val="Hyperlink"/>
          </w:rPr>
          <w:t xml:space="preserve">https://changinginside.co.uk/links/right-to-hope/</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hanginginside.co.uk/links/right-to-hope/" TargetMode="External" /></Relationships>
</file>

<file path=word/_rels/footnotes.xml.rels><?xml version="1.0" encoding="UTF-8"?><Relationships xmlns="http://schemas.openxmlformats.org/package/2006/relationships"><Relationship Type="http://schemas.openxmlformats.org/officeDocument/2006/relationships/hyperlink" Id="rId20" Target="https://changinginside.co.uk/links/right-to-ho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Scandal and reform, 1960-2016</dc:title>
  <dc:creator>Ben Jarman</dc:creator>
  <dc:description>Briefing paper for the History &amp; Policy website</dc:description>
  <dc:language>en-GB</dc:language>
  <cp:keywords>child abuse, child sexual abuse, prisons, england and wales, youth justice, youth custody, secure estate for children, 20th century history, criminology, penology, historical criminology</cp:keywords>
  <dcterms:created xsi:type="dcterms:W3CDTF">2025-01-13T13:00:35Z</dcterms:created>
  <dcterms:modified xsi:type="dcterms:W3CDTF">2025-01-13T13:00:35Z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 ‘bad apples’. Instead, the actions of ‘bad apples’ 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 ‘bad apples’ 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False</vt:lpwstr>
  </property>
  <property fmtid="{D5CDD505-2E9C-101B-9397-08002B2CF9AE}" pid="26" name="subtitle">
    <vt:lpwstr>Can better policies guarantee child welfare in secure custody?</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y fmtid="{D5CDD505-2E9C-101B-9397-08002B2CF9AE}" pid="30" name="url">
    <vt:lpwstr>https://www.historyandpolicy.org/policy-papers/papers/scandal-and-reform-1960-2016-better-policies-child-welfare-secure-custody</vt:lpwstr>
  </property>
</Properties>
</file>