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Whose data is it, anyway?</w:t>
      </w:r>
    </w:p>
    <w:p>
      <w:pPr>
        <w:pStyle w:val="Subtitle"/>
      </w:pPr>
      <w:r>
        <w:t xml:space="preserve">Qualitative criminology, prisons, and the Open Research agenda</w:t>
      </w:r>
    </w:p>
    <w:p>
      <w:pPr>
        <w:pStyle w:val="Author"/>
      </w:pPr>
      <w:r>
        <w:t xml:space="preserve">Ben Jarman</w:t>
      </w:r>
    </w:p>
    <w:p>
      <w:pPr>
        <w:pStyle w:val="Date"/>
      </w:pPr>
      <w:r>
        <w:t xml:space="preserve">12th February 2025</w:t>
      </w:r>
    </w:p>
    <w:p>
      <w:pPr>
        <w:pStyle w:val="AbstractTitle"/>
      </w:pPr>
      <w:r>
        <w:t xml:space="preserve">Abstract</w:t>
      </w:r>
    </w:p>
    <w:p>
      <w:pPr>
        <w:pStyle w:val="Abstract"/>
      </w:pPr>
      <w:r>
        <w:t xml:space="preserve">Recent years have seen increasing pressure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w:t>
      </w:r>
      <w:r>
        <w:t xml:space="preserve"> </w:t>
      </w:r>
      <w:r>
        <w:t xml:space="preserve">(DEAR, see</w:t>
      </w:r>
      <w:r>
        <w:t xml:space="preserve"> </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reconcile the demands of the open research agenda with the integrity of their methodological and ethical approach.</w:t>
      </w:r>
    </w:p>
    <w:bookmarkStart w:id="23" w:name="setting-the-scene"/>
    <w:p>
      <w:pPr>
        <w:pStyle w:val="Heading1"/>
      </w:pPr>
      <w:r>
        <w:t xml:space="preserve">Setting the scene</w:t>
      </w:r>
    </w:p>
    <w:bookmarkStart w:id="20" w:name="setting-the-scene-1"/>
    <w:p>
      <w:pPr>
        <w:pStyle w:val="Heading2"/>
      </w:pPr>
      <w:r>
        <w:t xml:space="preserve">Setting the scene</w:t>
      </w:r>
    </w:p>
    <w:p>
      <w:pPr>
        <w:pStyle w:val="Compact"/>
        <w:numPr>
          <w:ilvl w:val="0"/>
          <w:numId w:val="1001"/>
        </w:numPr>
      </w:pPr>
      <w:r>
        <w:t xml:space="preserve">A colleague’s dilemma</w:t>
      </w:r>
    </w:p>
    <w:p>
      <w:pPr>
        <w:pStyle w:val="Compact"/>
        <w:numPr>
          <w:ilvl w:val="0"/>
          <w:numId w:val="1001"/>
        </w:numPr>
      </w:pPr>
      <w:r>
        <w:t xml:space="preserve">Open [Research/Access/Data]: brief definitions</w:t>
      </w:r>
    </w:p>
    <w:p>
      <w:pPr>
        <w:pStyle w:val="Compact"/>
        <w:numPr>
          <w:ilvl w:val="0"/>
          <w:numId w:val="1001"/>
        </w:numPr>
      </w:pPr>
      <w:r>
        <w:t xml:space="preserve">Prison research as a lens</w:t>
      </w:r>
    </w:p>
    <w:bookmarkEnd w:id="20"/>
    <w:bookmarkStart w:id="21" w:name="what-do-we-mean-by-openness"/>
    <w:p>
      <w:pPr>
        <w:pStyle w:val="Heading2"/>
      </w:pPr>
      <w:r>
        <w:t xml:space="preserve">What do we mean by</w:t>
      </w:r>
      <w:r>
        <w:t xml:space="preserve"> </w:t>
      </w:r>
      <w:r>
        <w:t xml:space="preserve">‘openness’</w:t>
      </w:r>
      <w:r>
        <w:t xml:space="preserve">?</w:t>
      </w:r>
    </w:p>
    <w:p>
      <w:pPr>
        <w:pStyle w:val="FirstParagraph"/>
      </w:pPr>
      <w:r>
        <w:t xml:space="preserve">Three key concepts:</w:t>
      </w:r>
    </w:p>
    <w:p>
      <w:pPr>
        <w:pStyle w:val="Heading3"/>
      </w:pPr>
      <w:r>
        <w:t xml:space="preserve">Open Research</w:t>
      </w:r>
    </w:p>
    <w:p>
      <w:pPr>
        <w:pStyle w:val="BlockText"/>
      </w:pPr>
      <w:r>
        <w:t xml:space="preserve">“the idea that scientific knowledge of all kinds should be openly shared as early as it is practical in the discovery process”</w:t>
      </w:r>
      <w:r>
        <w:t xml:space="preserve"> </w:t>
      </w:r>
      <w:r>
        <w:t xml:space="preserve">(</w:t>
      </w:r>
      <w:hyperlink w:anchor="ref-nielsenMichaelNielsenOpen">
        <w:r>
          <w:rPr>
            <w:rStyle w:val="Hyperlink"/>
          </w:rPr>
          <w:t xml:space="preserve">Nielsen n.d.</w:t>
        </w:r>
      </w:hyperlink>
      <w:r>
        <w:t xml:space="preserve">)</w:t>
      </w:r>
    </w:p>
    <w:p>
      <w:pPr>
        <w:pStyle w:val="Heading3"/>
      </w:pPr>
      <w:r>
        <w:t xml:space="preserve">Open Access</w:t>
      </w:r>
    </w:p>
    <w:p>
      <w:pPr>
        <w:pStyle w:val="Compact"/>
        <w:numPr>
          <w:ilvl w:val="0"/>
          <w:numId w:val="1002"/>
        </w:numPr>
      </w:pPr>
      <w:r>
        <w:t xml:space="preserve">Simply: make research outputs freely available (≠ paywall)</w:t>
      </w:r>
    </w:p>
    <w:p>
      <w:pPr>
        <w:pStyle w:val="Compact"/>
        <w:numPr>
          <w:ilvl w:val="0"/>
          <w:numId w:val="1002"/>
        </w:numPr>
      </w:pPr>
      <w:r>
        <w:t xml:space="preserve">Publicly-funded = belongs to/available to the public</w:t>
      </w:r>
    </w:p>
    <w:p>
      <w:pPr>
        <w:pStyle w:val="Heading3"/>
      </w:pPr>
      <w:r>
        <w:t xml:space="preserve">Open Data</w:t>
      </w:r>
    </w:p>
    <w:p>
      <w:pPr>
        <w:pStyle w:val="FirstParagraph"/>
      </w:pPr>
      <w:r>
        <w:t xml:space="preserve">Claims about the relationship between research data and transparency, involving:</w:t>
      </w:r>
    </w:p>
    <w:p>
      <w:pPr>
        <w:pStyle w:val="Compact"/>
        <w:numPr>
          <w:ilvl w:val="0"/>
          <w:numId w:val="1003"/>
        </w:numPr>
      </w:pPr>
      <w:r>
        <w:t xml:space="preserve">Norms re publication—of data, analytical procedures, etc.</w:t>
      </w:r>
    </w:p>
    <w:p>
      <w:pPr>
        <w:pStyle w:val="Compact"/>
        <w:numPr>
          <w:ilvl w:val="0"/>
          <w:numId w:val="1003"/>
        </w:numPr>
      </w:pPr>
      <w:r>
        <w:t xml:space="preserve">Promotion of data curation frameworks (FAIR, CARE, CORE, etc.)</w:t>
      </w:r>
    </w:p>
    <w:bookmarkEnd w:id="21"/>
    <w:bookmarkStart w:id="22" w:name="prison-research-as-analytical-lens"/>
    <w:p>
      <w:pPr>
        <w:pStyle w:val="Heading2"/>
      </w:pPr>
      <w:r>
        <w:t xml:space="preserve">Prison research as analytical lens</w:t>
      </w:r>
    </w:p>
    <w:p>
      <w:pPr>
        <w:pStyle w:val="FirstParagraph"/>
      </w:pPr>
      <w:r>
        <w:t xml:space="preserve">. . .</w:t>
      </w:r>
    </w:p>
    <w:p>
      <w:pPr>
        <w:pStyle w:val="BodyText"/>
      </w:pPr>
      <w:r>
        <w:t xml:space="preserve">Three key tensions:</w:t>
      </w:r>
    </w:p>
    <w:p>
      <w:pPr>
        <w:pStyle w:val="Compact"/>
        <w:numPr>
          <w:ilvl w:val="0"/>
          <w:numId w:val="1004"/>
        </w:numPr>
      </w:pPr>
      <w:r>
        <w:t xml:space="preserve">Transparency/credibility vs. confidentiality/safeguarding</w:t>
      </w:r>
    </w:p>
    <w:p>
      <w:pPr>
        <w:pStyle w:val="Compact"/>
        <w:numPr>
          <w:ilvl w:val="0"/>
          <w:numId w:val="1004"/>
        </w:numPr>
      </w:pPr>
      <w:r>
        <w:t xml:space="preserve">Formal governance vs. informal reality</w:t>
      </w:r>
    </w:p>
    <w:p>
      <w:pPr>
        <w:pStyle w:val="Compact"/>
        <w:numPr>
          <w:ilvl w:val="0"/>
          <w:numId w:val="1004"/>
        </w:numPr>
      </w:pPr>
      <w:r>
        <w:t xml:space="preserve">Participant autonomy vs. institutional control</w:t>
      </w:r>
    </w:p>
    <w:p>
      <w:pPr>
        <w:pStyle w:val="FirstParagraph"/>
      </w:pPr>
      <w:r>
        <w:t xml:space="preserve">For more depth, see</w:t>
      </w:r>
      <w:r>
        <w:t xml:space="preserve"> </w:t>
      </w:r>
      <w:r>
        <w:t xml:space="preserve">Jarman (</w:t>
      </w:r>
      <w:hyperlink w:anchor="ref-jarmanOpenDataSensitive2020">
        <w:r>
          <w:rPr>
            <w:rStyle w:val="Hyperlink"/>
          </w:rPr>
          <w:t xml:space="preserve">2020</w:t>
        </w:r>
      </w:hyperlink>
      <w:r>
        <w:t xml:space="preserve">)</w:t>
      </w:r>
      <w:r>
        <w:t xml:space="preserve">,</w:t>
      </w:r>
      <w:r>
        <w:t xml:space="preserve"> </w:t>
      </w:r>
      <w:r>
        <w:t xml:space="preserve">Jarman (</w:t>
      </w:r>
      <w:hyperlink w:anchor="ref-jarmanCanConfidentialResearch2021">
        <w:r>
          <w:rPr>
            <w:rStyle w:val="Hyperlink"/>
          </w:rPr>
          <w:t xml:space="preserve">2021</w:t>
        </w:r>
      </w:hyperlink>
      <w:r>
        <w:t xml:space="preserve">)</w:t>
      </w:r>
      <w:r>
        <w:t xml:space="preserve">.</w:t>
      </w:r>
    </w:p>
    <w:bookmarkEnd w:id="22"/>
    <w:bookmarkEnd w:id="23"/>
    <w:bookmarkStart w:id="29" w:name="frameworks-for-understanding-openness"/>
    <w:p>
      <w:pPr>
        <w:pStyle w:val="Heading1"/>
      </w:pPr>
      <w:r>
        <w:t xml:space="preserve">Frameworks for understanding</w:t>
      </w:r>
      <w:r>
        <w:t xml:space="preserve"> </w:t>
      </w:r>
      <w:r>
        <w:t xml:space="preserve">‘openness’</w:t>
      </w:r>
    </w:p>
    <w:bookmarkStart w:id="26" w:name="fair"/>
    <w:p>
      <w:pPr>
        <w:pStyle w:val="Heading2"/>
      </w:pPr>
      <w:r>
        <w:t xml:space="preserve">FAIR</w:t>
      </w:r>
    </w:p>
    <w:p>
      <w:pPr>
        <w:pStyle w:val="FirstParagraph"/>
      </w:pPr>
      <w:r>
        <w:t xml:space="preserve">Data should be curated, published, and managed so as to be:</w:t>
      </w:r>
    </w:p>
    <w:p>
      <w:pPr>
        <w:pStyle w:val="Compact"/>
        <w:numPr>
          <w:ilvl w:val="0"/>
          <w:numId w:val="1005"/>
        </w:numPr>
      </w:pPr>
      <w:r>
        <w:rPr>
          <w:b/>
          <w:bCs/>
        </w:rPr>
        <w:t xml:space="preserve">F</w:t>
      </w:r>
      <w:r>
        <w:t xml:space="preserve">indable</w:t>
      </w:r>
    </w:p>
    <w:p>
      <w:pPr>
        <w:pStyle w:val="Compact"/>
        <w:numPr>
          <w:ilvl w:val="0"/>
          <w:numId w:val="1005"/>
        </w:numPr>
      </w:pPr>
      <w:r>
        <w:rPr>
          <w:b/>
          <w:bCs/>
        </w:rPr>
        <w:t xml:space="preserve">A</w:t>
      </w:r>
      <w:r>
        <w:t xml:space="preserve">ccessible</w:t>
      </w:r>
    </w:p>
    <w:p>
      <w:pPr>
        <w:pStyle w:val="Compact"/>
        <w:numPr>
          <w:ilvl w:val="0"/>
          <w:numId w:val="1005"/>
        </w:numPr>
      </w:pPr>
      <w:r>
        <w:rPr>
          <w:b/>
          <w:bCs/>
        </w:rPr>
        <w:t xml:space="preserve">I</w:t>
      </w:r>
      <w:r>
        <w:t xml:space="preserve">nteroperable</w:t>
      </w:r>
    </w:p>
    <w:p>
      <w:pPr>
        <w:pStyle w:val="Compact"/>
        <w:numPr>
          <w:ilvl w:val="0"/>
          <w:numId w:val="1005"/>
        </w:numPr>
      </w:pPr>
      <w:r>
        <w:rPr>
          <w:b/>
          <w:bCs/>
        </w:rPr>
        <w:t xml:space="preserve">R</w:t>
      </w:r>
      <w:r>
        <w:t xml:space="preserve">eusable</w:t>
      </w:r>
    </w:p>
    <w:p>
      <w:pPr>
        <w:pStyle w:val="FirstParagraph"/>
      </w:pPr>
      <w:r>
        <w:t xml:space="preserve">See</w:t>
      </w:r>
      <w:r>
        <w:t xml:space="preserve"> </w:t>
      </w:r>
      <w:r>
        <w:t xml:space="preserve">Wilkinson</w:t>
      </w:r>
      <w:r>
        <w:t xml:space="preserve"> </w:t>
      </w:r>
      <w:r>
        <w:rPr>
          <w:i/>
          <w:iCs/>
        </w:rPr>
        <w:t xml:space="preserve">et al.</w:t>
      </w:r>
      <w:r>
        <w:t xml:space="preserve"> </w:t>
      </w:r>
      <w:r>
        <w:t xml:space="preserve">(</w:t>
      </w:r>
      <w:hyperlink w:anchor="ref-wilkinsonFAIRGuidingPrinciples2016">
        <w:r>
          <w:rPr>
            <w:rStyle w:val="Hyperlink"/>
          </w:rPr>
          <w:t xml:space="preserve">2016</w:t>
        </w:r>
      </w:hyperlink>
      <w:r>
        <w:t xml:space="preserve">)</w:t>
      </w:r>
      <w:r>
        <w:t xml:space="preserve">. Alternatives to FAIR exist for the humanities (CORE</w:t>
      </w:r>
      <w:r>
        <w:rPr>
          <w:rStyle w:val="FootnoteReference"/>
        </w:rPr>
        <w:footnoteReference w:id="24"/>
      </w:r>
      <w:r>
        <w:t xml:space="preserve">, see Gilby et al., 2022) and data derived from indigenous knowledge (CARE</w:t>
      </w:r>
      <w:r>
        <w:rPr>
          <w:rStyle w:val="FootnoteReference"/>
        </w:rPr>
        <w:footnoteReference w:id="25"/>
      </w:r>
      <w:r>
        <w:t xml:space="preserve">, see UNESCO, 2021). I am not aware of alternatives for the qualitative social sciences.</w:t>
      </w:r>
    </w:p>
    <w:bookmarkEnd w:id="26"/>
    <w:bookmarkStart w:id="27" w:name="dear"/>
    <w:p>
      <w:pPr>
        <w:pStyle w:val="Heading2"/>
      </w:pPr>
      <w:r>
        <w:t xml:space="preserve">DEAR</w:t>
      </w:r>
    </w:p>
    <w:p>
      <w:pPr>
        <w:pStyle w:val="Heading3"/>
      </w:pPr>
      <w:r>
        <w:rPr>
          <w:b/>
          <w:bCs/>
        </w:rPr>
        <w:t xml:space="preserve">D</w:t>
      </w:r>
      <w:r>
        <w:t xml:space="preserve">ialogic</w:t>
      </w:r>
    </w:p>
    <w:p>
      <w:pPr>
        <w:pStyle w:val="Compact"/>
        <w:numPr>
          <w:ilvl w:val="0"/>
          <w:numId w:val="1006"/>
        </w:numPr>
      </w:pPr>
      <w:r>
        <w:t xml:space="preserve">Knowledge through interaction</w:t>
      </w:r>
    </w:p>
    <w:p>
      <w:pPr>
        <w:pStyle w:val="Compact"/>
        <w:numPr>
          <w:ilvl w:val="0"/>
          <w:numId w:val="1006"/>
        </w:numPr>
      </w:pPr>
      <w:r>
        <w:t xml:space="preserve">Trust and relationship-dependent</w:t>
      </w:r>
    </w:p>
    <w:p>
      <w:pPr>
        <w:pStyle w:val="Compact"/>
        <w:numPr>
          <w:ilvl w:val="0"/>
          <w:numId w:val="1006"/>
        </w:numPr>
      </w:pPr>
      <w:r>
        <w:t xml:space="preserve">Implications for consent</w:t>
      </w:r>
    </w:p>
    <w:p>
      <w:pPr>
        <w:pStyle w:val="Heading3"/>
      </w:pPr>
      <w:r>
        <w:rPr>
          <w:b/>
          <w:bCs/>
        </w:rPr>
        <w:t xml:space="preserve">E</w:t>
      </w:r>
      <w:r>
        <w:t xml:space="preserve">mergent</w:t>
      </w:r>
    </w:p>
    <w:p>
      <w:pPr>
        <w:pStyle w:val="Compact"/>
        <w:numPr>
          <w:ilvl w:val="0"/>
          <w:numId w:val="1007"/>
        </w:numPr>
      </w:pPr>
      <w:r>
        <w:t xml:space="preserve">Non-linear development</w:t>
      </w:r>
    </w:p>
    <w:p>
      <w:pPr>
        <w:pStyle w:val="Compact"/>
        <w:numPr>
          <w:ilvl w:val="0"/>
          <w:numId w:val="1007"/>
        </w:numPr>
      </w:pPr>
      <w:r>
        <w:t xml:space="preserve">Context-dependent insights</w:t>
      </w:r>
    </w:p>
    <w:p>
      <w:pPr>
        <w:pStyle w:val="Compact"/>
        <w:numPr>
          <w:ilvl w:val="0"/>
          <w:numId w:val="1007"/>
        </w:numPr>
      </w:pPr>
      <w:r>
        <w:t xml:space="preserve">Implications for interpretation</w:t>
      </w:r>
    </w:p>
    <w:p>
      <w:pPr>
        <w:pStyle w:val="Heading3"/>
      </w:pPr>
      <w:r>
        <w:rPr>
          <w:b/>
          <w:bCs/>
        </w:rPr>
        <w:t xml:space="preserve">A</w:t>
      </w:r>
      <w:r>
        <w:t xml:space="preserve">bundant</w:t>
      </w:r>
    </w:p>
    <w:p>
      <w:pPr>
        <w:pStyle w:val="Compact"/>
        <w:numPr>
          <w:ilvl w:val="0"/>
          <w:numId w:val="1008"/>
        </w:numPr>
      </w:pPr>
      <w:r>
        <w:t xml:space="preserve">Rich, detailed data</w:t>
      </w:r>
    </w:p>
    <w:p>
      <w:pPr>
        <w:pStyle w:val="Compact"/>
        <w:numPr>
          <w:ilvl w:val="0"/>
          <w:numId w:val="1008"/>
        </w:numPr>
      </w:pPr>
      <w:r>
        <w:t xml:space="preserve">Complex anonymisation needs</w:t>
      </w:r>
    </w:p>
    <w:p>
      <w:pPr>
        <w:pStyle w:val="Compact"/>
        <w:numPr>
          <w:ilvl w:val="0"/>
          <w:numId w:val="1008"/>
        </w:numPr>
      </w:pPr>
      <w:r>
        <w:t xml:space="preserve">Resource implications</w:t>
      </w:r>
    </w:p>
    <w:p>
      <w:pPr>
        <w:pStyle w:val="Heading3"/>
      </w:pPr>
      <w:r>
        <w:rPr>
          <w:b/>
          <w:bCs/>
        </w:rPr>
        <w:t xml:space="preserve">R</w:t>
      </w:r>
      <w:r>
        <w:t xml:space="preserve">elational</w:t>
      </w:r>
    </w:p>
    <w:p>
      <w:pPr>
        <w:pStyle w:val="Compact"/>
        <w:numPr>
          <w:ilvl w:val="0"/>
          <w:numId w:val="1009"/>
        </w:numPr>
      </w:pPr>
      <w:r>
        <w:t xml:space="preserve">Web of relationships</w:t>
      </w:r>
    </w:p>
    <w:p>
      <w:pPr>
        <w:pStyle w:val="Compact"/>
        <w:numPr>
          <w:ilvl w:val="0"/>
          <w:numId w:val="1009"/>
        </w:numPr>
      </w:pPr>
      <w:r>
        <w:t xml:space="preserve">Meaning in context</w:t>
      </w:r>
    </w:p>
    <w:p>
      <w:pPr>
        <w:pStyle w:val="Compact"/>
        <w:numPr>
          <w:ilvl w:val="0"/>
          <w:numId w:val="1009"/>
        </w:numPr>
      </w:pPr>
      <w:r>
        <w:t xml:space="preserve">Stewardship not ownership</w:t>
      </w:r>
    </w:p>
    <w:p>
      <w:pPr>
        <w:pStyle w:val="FirstParagraph"/>
      </w:pPr>
      <w:r>
        <w:t xml:space="preserve">Cambridge working group report:</w:t>
      </w:r>
      <w:r>
        <w:t xml:space="preserve"> </w:t>
      </w:r>
      <w:r>
        <w:t xml:space="preserve">Westbury</w:t>
      </w:r>
      <w:r>
        <w:t xml:space="preserve"> </w:t>
      </w:r>
      <w:r>
        <w:rPr>
          <w:i/>
          <w:iCs/>
        </w:rPr>
        <w:t xml:space="preserve">et al.</w:t>
      </w:r>
      <w:r>
        <w:t xml:space="preserve"> </w:t>
      </w:r>
      <w:r>
        <w:t xml:space="preserve">(</w:t>
      </w:r>
      <w:hyperlink w:anchor="X70d2c407d441d8ba0d18b5076b659f44ad3107d">
        <w:r>
          <w:rPr>
            <w:rStyle w:val="Hyperlink"/>
          </w:rPr>
          <w:t xml:space="preserve">2022</w:t>
        </w:r>
      </w:hyperlink>
      <w:r>
        <w:t xml:space="preserve">)</w:t>
      </w:r>
      <w:r>
        <w:t xml:space="preserve">.</w:t>
      </w:r>
    </w:p>
    <w:bookmarkEnd w:id="27"/>
    <w:bookmarkStart w:id="28" w:name="example-of-a-current-debate"/>
    <w:p>
      <w:pPr>
        <w:pStyle w:val="Heading2"/>
      </w:pPr>
      <w:r>
        <w:t xml:space="preserve">Example of a current debate</w:t>
      </w:r>
    </w:p>
    <w:p>
      <w:pPr>
        <w:pStyle w:val="FirstParagraph"/>
      </w:pPr>
      <w:r>
        <w:t xml:space="preserve">Recent developments in US criminology:</w:t>
      </w:r>
    </w:p>
    <w:p>
      <w:pPr>
        <w:pStyle w:val="Compact"/>
        <w:numPr>
          <w:ilvl w:val="0"/>
          <w:numId w:val="1010"/>
        </w:numPr>
      </w:pPr>
      <w:r>
        <w:rPr>
          <w:i/>
          <w:iCs/>
        </w:rPr>
        <w:t xml:space="preserve">Criminology</w:t>
      </w:r>
      <w:r>
        <w:t xml:space="preserve"> </w:t>
      </w:r>
      <w:r>
        <w:t xml:space="preserve">journal – following policy changes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p>
    <w:p>
      <w:pPr>
        <w:pStyle w:val="Compact"/>
        <w:numPr>
          <w:ilvl w:val="0"/>
          <w:numId w:val="1010"/>
        </w:numPr>
      </w:pPr>
      <w:r>
        <w:t xml:space="preserve">Debate over qualitative data sharing</w:t>
      </w:r>
    </w:p>
    <w:p>
      <w:pPr>
        <w:pStyle w:val="Compact"/>
        <w:numPr>
          <w:ilvl w:val="0"/>
          <w:numId w:val="1010"/>
        </w:numPr>
      </w:pPr>
      <w:r>
        <w:t xml:space="preserve">Emerging constructive responses</w:t>
      </w:r>
    </w:p>
    <w:p>
      <w:pPr>
        <w:pStyle w:val="FirstParagraph"/>
      </w:pPr>
      <w:r>
        <w:t xml:space="preserve">Key contributions described in this section:</w:t>
      </w:r>
      <w:r>
        <w:t xml:space="preserve"> </w:t>
      </w:r>
      <w:r>
        <w:t xml:space="preserve">Bucerius &amp; Copes (</w:t>
      </w:r>
      <w:hyperlink w:anchor="X6a8158a74965d42fffc0b5345fd10d502d2b22c">
        <w:r>
          <w:rPr>
            <w:rStyle w:val="Hyperlink"/>
          </w:rPr>
          <w:t xml:space="preserve">2024</w:t>
        </w:r>
      </w:hyperlink>
      <w:r>
        <w:t xml:space="preserve">)</w:t>
      </w:r>
      <w:r>
        <w:t xml:space="preserve">,</w:t>
      </w:r>
      <w:r>
        <w:t xml:space="preserve"> </w:t>
      </w:r>
      <w:r>
        <w:t xml:space="preserve">Greene-Colozzi &amp; Freilich (</w:t>
      </w:r>
      <w:hyperlink w:anchor="Xd0f3c986a2f8c6ed622f36bdd6c690b6cd420a3">
        <w:r>
          <w:rPr>
            <w:rStyle w:val="Hyperlink"/>
          </w:rPr>
          <w:t xml:space="preserve">2024</w:t>
        </w:r>
      </w:hyperlink>
      <w:r>
        <w:t xml:space="preserve">)</w:t>
      </w:r>
      <w:r>
        <w:t xml:space="preserve">,</w:t>
      </w:r>
      <w:r>
        <w:t xml:space="preserve"> </w:t>
      </w:r>
      <w:r>
        <w:t xml:space="preserve">Young (</w:t>
      </w:r>
      <w:hyperlink w:anchor="ref-youngExpandingScopeTransparency2024">
        <w:r>
          <w:rPr>
            <w:rStyle w:val="Hyperlink"/>
          </w:rPr>
          <w:t xml:space="preserve">2024</w:t>
        </w:r>
      </w:hyperlink>
      <w:r>
        <w:t xml:space="preserve">)</w:t>
      </w:r>
      <w:r>
        <w:t xml:space="preserve">,</w:t>
      </w:r>
      <w:r>
        <w:t xml:space="preserve"> </w:t>
      </w:r>
      <w:r>
        <w:t xml:space="preserve">La Vigne (</w:t>
      </w:r>
      <w:hyperlink w:anchor="ref-lavigneRedefiningRigorEmbracing2025">
        <w:r>
          <w:rPr>
            <w:rStyle w:val="Hyperlink"/>
          </w:rPr>
          <w:t xml:space="preserve">2025</w:t>
        </w:r>
      </w:hyperlink>
      <w:r>
        <w:t xml:space="preserve">)</w:t>
      </w:r>
      <w:r>
        <w:t xml:space="preserve">,</w:t>
      </w:r>
      <w:r>
        <w:t xml:space="preserve"> </w:t>
      </w:r>
      <w:r>
        <w:t xml:space="preserve">Jacques &amp; Wheeler (</w:t>
      </w:r>
      <w:hyperlink w:anchor="ref-jacquesPleaOpenAccess2024">
        <w:r>
          <w:rPr>
            <w:rStyle w:val="Hyperlink"/>
          </w:rPr>
          <w:t xml:space="preserve">2024</w:t>
        </w:r>
      </w:hyperlink>
      <w:r>
        <w:t xml:space="preserve">)</w:t>
      </w:r>
      <w:r>
        <w:t xml:space="preserve">,</w:t>
      </w:r>
      <w:r>
        <w:t xml:space="preserve"> </w:t>
      </w:r>
      <w:r>
        <w:t xml:space="preserve">Dickinson (</w:t>
      </w:r>
      <w:hyperlink w:anchor="ref-dickinsonReviewPleaOpen2024">
        <w:r>
          <w:rPr>
            <w:rStyle w:val="Hyperlink"/>
          </w:rPr>
          <w:t xml:space="preserve">2024</w:t>
        </w:r>
      </w:hyperlink>
      <w:r>
        <w:t xml:space="preserve">)</w:t>
      </w:r>
    </w:p>
    <w:bookmarkEnd w:id="28"/>
    <w:bookmarkEnd w:id="29"/>
    <w:bookmarkStart w:id="64" w:name="ways-forward"/>
    <w:p>
      <w:pPr>
        <w:pStyle w:val="Heading1"/>
      </w:pPr>
      <w:r>
        <w:t xml:space="preserve">Ways forward?</w:t>
      </w:r>
    </w:p>
    <w:bookmarkStart w:id="30" w:name="re-renderability"/>
    <w:p>
      <w:pPr>
        <w:pStyle w:val="Heading2"/>
      </w:pPr>
      <w:r>
        <w:t xml:space="preserve">‘Re-renderability’</w:t>
      </w:r>
    </w:p>
    <w:p>
      <w:pPr>
        <w:pStyle w:val="FirstParagraph"/>
      </w:pPr>
      <w:r>
        <w:t xml:space="preserve">An alternative framing to reproducibility, used alongside (or, as appropriate, in place of) data publication:</w:t>
      </w:r>
    </w:p>
    <w:p>
      <w:pPr>
        <w:pStyle w:val="Compact"/>
        <w:numPr>
          <w:ilvl w:val="0"/>
          <w:numId w:val="1011"/>
        </w:numPr>
      </w:pPr>
      <w:r>
        <w:t xml:space="preserve">More transparent analytical processes</w:t>
      </w:r>
    </w:p>
    <w:p>
      <w:pPr>
        <w:pStyle w:val="Compact"/>
        <w:numPr>
          <w:ilvl w:val="0"/>
          <w:numId w:val="1011"/>
        </w:numPr>
      </w:pPr>
      <w:r>
        <w:t xml:space="preserve">Better documented interpretive approaches</w:t>
      </w:r>
    </w:p>
    <w:p>
      <w:pPr>
        <w:pStyle w:val="Compact"/>
        <w:numPr>
          <w:ilvl w:val="0"/>
          <w:numId w:val="1011"/>
        </w:numPr>
      </w:pPr>
      <w:r>
        <w:t xml:space="preserve">Rich contextual documentation</w:t>
      </w:r>
    </w:p>
    <w:p>
      <w:pPr>
        <w:pStyle w:val="FirstParagraph"/>
      </w:pPr>
      <w:r>
        <w:t xml:space="preserve">Sheffield report:</w:t>
      </w:r>
      <w:r>
        <w:t xml:space="preserve"> </w:t>
      </w:r>
      <w:r>
        <w:t xml:space="preserve">Hanchard &amp; San Roman Pineda (</w:t>
      </w:r>
      <w:hyperlink w:anchor="ref-hanchardFosteringOpenQualitative2023">
        <w:r>
          <w:rPr>
            <w:rStyle w:val="Hyperlink"/>
          </w:rPr>
          <w:t xml:space="preserve">2023</w:t>
        </w:r>
      </w:hyperlink>
      <w:r>
        <w:t xml:space="preserve">)</w:t>
      </w:r>
      <w:r>
        <w:t xml:space="preserve">.</w:t>
      </w:r>
    </w:p>
    <w:bookmarkEnd w:id="30"/>
    <w:bookmarkStart w:id="31" w:name="support-for-implementation"/>
    <w:p>
      <w:pPr>
        <w:pStyle w:val="Heading2"/>
      </w:pPr>
      <w:r>
        <w:t xml:space="preserve">Support for implementation</w:t>
      </w:r>
    </w:p>
    <w:p>
      <w:pPr>
        <w:pStyle w:val="FirstParagraph"/>
      </w:pPr>
      <w:r>
        <w:t xml:space="preserve">What do we need from research institutions?</w:t>
      </w:r>
    </w:p>
    <w:p>
      <w:pPr>
        <w:pStyle w:val="Compact"/>
        <w:numPr>
          <w:ilvl w:val="0"/>
          <w:numId w:val="1012"/>
        </w:numPr>
      </w:pPr>
      <w:r>
        <w:t xml:space="preserve">Technical infrastructure</w:t>
      </w:r>
    </w:p>
    <w:p>
      <w:pPr>
        <w:pStyle w:val="Compact"/>
        <w:numPr>
          <w:ilvl w:val="0"/>
          <w:numId w:val="1012"/>
        </w:numPr>
      </w:pPr>
      <w:r>
        <w:t xml:space="preserve">Resource allocation</w:t>
      </w:r>
    </w:p>
    <w:p>
      <w:pPr>
        <w:pStyle w:val="Compact"/>
        <w:numPr>
          <w:ilvl w:val="0"/>
          <w:numId w:val="1012"/>
        </w:numPr>
      </w:pPr>
      <w:r>
        <w:t xml:space="preserve">Time recognition</w:t>
      </w:r>
    </w:p>
    <w:p>
      <w:pPr>
        <w:pStyle w:val="Compact"/>
        <w:numPr>
          <w:ilvl w:val="0"/>
          <w:numId w:val="1012"/>
        </w:numPr>
      </w:pPr>
      <w:r>
        <w:t xml:space="preserve">Disciplinary development space</w:t>
      </w:r>
    </w:p>
    <w:p>
      <w:pPr>
        <w:pStyle w:val="FirstParagraph"/>
      </w:pPr>
      <w:r>
        <w:t xml:space="preserve">NB: These have implications for funders, research organisations, learned societies, etc.</w:t>
      </w:r>
    </w:p>
    <w:bookmarkEnd w:id="31"/>
    <w:bookmarkStart w:id="32" w:name="key-messages"/>
    <w:p>
      <w:pPr>
        <w:pStyle w:val="Heading2"/>
      </w:pPr>
      <w:r>
        <w:t xml:space="preserve">Key messages</w:t>
      </w:r>
    </w:p>
    <w:p>
      <w:pPr>
        <w:pStyle w:val="Compact"/>
        <w:numPr>
          <w:ilvl w:val="0"/>
          <w:numId w:val="1013"/>
        </w:numPr>
      </w:pPr>
      <w:r>
        <w:t xml:space="preserve">Underlying shifts are already underway</w:t>
      </w:r>
    </w:p>
    <w:p>
      <w:pPr>
        <w:pStyle w:val="Compact"/>
        <w:numPr>
          <w:ilvl w:val="0"/>
          <w:numId w:val="1013"/>
        </w:numPr>
      </w:pPr>
      <w:r>
        <w:t xml:space="preserve">Constructive engagement or…?</w:t>
      </w:r>
    </w:p>
    <w:p>
      <w:pPr>
        <w:pStyle w:val="Compact"/>
        <w:numPr>
          <w:ilvl w:val="0"/>
          <w:numId w:val="1013"/>
        </w:numPr>
      </w:pPr>
      <w:r>
        <w:t xml:space="preserve">From ownership to stewardship</w:t>
      </w:r>
    </w:p>
    <w:p>
      <w:pPr>
        <w:pStyle w:val="Compact"/>
        <w:numPr>
          <w:ilvl w:val="0"/>
          <w:numId w:val="1013"/>
        </w:numPr>
      </w:pPr>
      <w:r>
        <w:t xml:space="preserve">Value of practical, grounded intradisciplinary debate</w:t>
      </w:r>
    </w:p>
    <w:p>
      <w:pPr>
        <w:pStyle w:val="FirstParagraph"/>
      </w:pPr>
      <w:r>
        <w:t xml:space="preserve">NB: UKRI</w:t>
      </w:r>
      <w:r>
        <w:t xml:space="preserve"> </w:t>
      </w:r>
      <w:r>
        <w:t xml:space="preserve">(</w:t>
      </w:r>
      <w:hyperlink w:anchor="ref-UKRIDevelopingNew2024">
        <w:r>
          <w:rPr>
            <w:rStyle w:val="Hyperlink"/>
          </w:rPr>
          <w:t xml:space="preserve">2024</w:t>
        </w:r>
      </w:hyperlink>
      <w:r>
        <w:t xml:space="preserve">)</w:t>
      </w:r>
      <w:r>
        <w:t xml:space="preserve"> </w:t>
      </w:r>
      <w:r>
        <w:t xml:space="preserve">is developing new policies on data management, which may adopt recommendations by</w:t>
      </w:r>
      <w:r>
        <w:t xml:space="preserve"> </w:t>
      </w:r>
      <w:r>
        <w:t xml:space="preserve">Allanson</w:t>
      </w:r>
      <w:r>
        <w:t xml:space="preserve"> </w:t>
      </w:r>
      <w:r>
        <w:rPr>
          <w:i/>
          <w:iCs/>
        </w:rPr>
        <w:t xml:space="preserve">et al.</w:t>
      </w:r>
      <w:r>
        <w:t xml:space="preserve"> </w:t>
      </w:r>
      <w:r>
        <w:t xml:space="preserve">(</w:t>
      </w:r>
      <w:hyperlink w:anchor="ref-allansonDoingESRCData2024">
        <w:r>
          <w:rPr>
            <w:rStyle w:val="Hyperlink"/>
          </w:rPr>
          <w:t xml:space="preserve">2024</w:t>
        </w:r>
      </w:hyperlink>
      <w:r>
        <w:t xml:space="preserve">)</w:t>
      </w:r>
      <w:r>
        <w:t xml:space="preserve">, commissioned by ESRC. Some of the latter recognise some of the issues raised today.</w:t>
      </w:r>
    </w:p>
    <w:bookmarkEnd w:id="32"/>
    <w:bookmarkStart w:id="63" w:name="references"/>
    <w:p>
      <w:pPr>
        <w:pStyle w:val="Heading2"/>
      </w:pPr>
      <w:r>
        <w:t xml:space="preserve">References</w:t>
      </w:r>
    </w:p>
    <w:bookmarkStart w:id="62" w:name="refs"/>
    <w:bookmarkStart w:id="34" w:name="ref-allansonDoingESRCData2024"/>
    <w:p>
      <w:pPr>
        <w:pStyle w:val="Bibliography"/>
      </w:pPr>
      <w:r>
        <w:t xml:space="preserve">Allanson, P., Daly, A., Elahi, A., … Tetley-Brown, L. (2024).</w:t>
      </w:r>
      <w:r>
        <w:t xml:space="preserve"> </w:t>
      </w:r>
      <w:r>
        <w:rPr>
          <w:i/>
          <w:iCs/>
        </w:rPr>
        <w:t xml:space="preserve">Doing ESRC data better: a study for the Economic and Social Research Council (ESRC)</w:t>
      </w:r>
      <w:r>
        <w:t xml:space="preserve">, University of Dundee. doi:</w:t>
      </w:r>
      <w:hyperlink r:id="rId33">
        <w:r>
          <w:rPr>
            <w:rStyle w:val="Hyperlink"/>
          </w:rPr>
          <w:t xml:space="preserve">10.20933/100001312</w:t>
        </w:r>
      </w:hyperlink>
    </w:p>
    <w:bookmarkEnd w:id="34"/>
    <w:bookmarkStart w:id="36" w:name="X6a8158a74965d42fffc0b5345fd10d502d2b22c"/>
    <w:p>
      <w:pPr>
        <w:pStyle w:val="Bibliography"/>
      </w:pPr>
      <w:r>
        <w:t xml:space="preserve">Bucerius, S., &amp; Copes, H. (2024).</w:t>
      </w:r>
      <w:r>
        <w:t xml:space="preserve"> </w:t>
      </w:r>
      <w:hyperlink r:id="rId35">
        <w:r>
          <w:rPr>
            <w:rStyle w:val="Hyperlink"/>
          </w:rPr>
          <w:t xml:space="preserve">Transparency trade-off: the risks of criminology’s new data sharing policy</w:t>
        </w:r>
      </w:hyperlink>
      <w:r>
        <w:t xml:space="preserve">.</w:t>
      </w:r>
      <w:r>
        <w:t xml:space="preserve"> </w:t>
      </w:r>
      <w:r>
        <w:rPr>
          <w:i/>
          <w:iCs/>
        </w:rPr>
        <w:t xml:space="preserve">The Criminologist</w:t>
      </w:r>
      <w:r>
        <w:t xml:space="preserve">,</w:t>
      </w:r>
      <w:r>
        <w:t xml:space="preserve"> </w:t>
      </w:r>
      <w:r>
        <w:rPr>
          <w:b/>
          <w:bCs/>
        </w:rPr>
        <w:t xml:space="preserve">50</w:t>
      </w:r>
      <w:r>
        <w:t xml:space="preserve">(2), 6–9.</w:t>
      </w:r>
    </w:p>
    <w:bookmarkEnd w:id="36"/>
    <w:bookmarkStart w:id="38" w:name="ref-dickinsonReviewPleaOpen2024"/>
    <w:p>
      <w:pPr>
        <w:pStyle w:val="Bibliography"/>
      </w:pPr>
      <w:r>
        <w:t xml:space="preserve">Dickinson, T. (2024, December 18). Review of</w:t>
      </w:r>
      <w:r>
        <w:t xml:space="preserve"> </w:t>
      </w:r>
      <w:r>
        <w:t xml:space="preserve">‘A plea for open access to qualitative criminology’</w:t>
      </w:r>
      <w:r>
        <w:t xml:space="preserve">, Review article, crimRxiv. doi:</w:t>
      </w:r>
      <w:hyperlink r:id="rId37">
        <w:r>
          <w:rPr>
            <w:rStyle w:val="Hyperlink"/>
          </w:rPr>
          <w:t xml:space="preserve">10.21428/cb6ab371.e42226cb</w:t>
        </w:r>
      </w:hyperlink>
    </w:p>
    <w:bookmarkEnd w:id="38"/>
    <w:bookmarkStart w:id="40" w:name="Xd0f3c986a2f8c6ed622f36bdd6c690b6cd420a3"/>
    <w:p>
      <w:pPr>
        <w:pStyle w:val="Bibliography"/>
      </w:pPr>
      <w:r>
        <w:t xml:space="preserve">Greene-Colozzi, E., &amp; Freilich, J. D. (2024).</w:t>
      </w:r>
      <w:r>
        <w:t xml:space="preserve"> </w:t>
      </w:r>
      <w:hyperlink r:id="rId39">
        <w:r>
          <w:rPr>
            <w:rStyle w:val="Hyperlink"/>
          </w:rPr>
          <w:t xml:space="preserve">The importance of transparency in open-source criminological research</w:t>
        </w:r>
      </w:hyperlink>
      <w:r>
        <w:t xml:space="preserve">.</w:t>
      </w:r>
      <w:r>
        <w:t xml:space="preserve"> </w:t>
      </w:r>
      <w:r>
        <w:rPr>
          <w:i/>
          <w:iCs/>
        </w:rPr>
        <w:t xml:space="preserve">The Criminologist</w:t>
      </w:r>
      <w:r>
        <w:t xml:space="preserve">,</w:t>
      </w:r>
      <w:r>
        <w:t xml:space="preserve"> </w:t>
      </w:r>
      <w:r>
        <w:rPr>
          <w:b/>
          <w:bCs/>
        </w:rPr>
        <w:t xml:space="preserve">50</w:t>
      </w:r>
      <w:r>
        <w:t xml:space="preserve">(6), 1–5.</w:t>
      </w:r>
    </w:p>
    <w:bookmarkEnd w:id="40"/>
    <w:bookmarkStart w:id="42" w:name="ref-hanchardFosteringOpenQualitative2023"/>
    <w:p>
      <w:pPr>
        <w:pStyle w:val="Bibliography"/>
      </w:pPr>
      <w:r>
        <w:t xml:space="preserve">Hanchard, M., &amp; San Roman Pineda, I. (2023).</w:t>
      </w:r>
      <w:r>
        <w:t xml:space="preserve"> </w:t>
      </w:r>
      <w:r>
        <w:rPr>
          <w:i/>
          <w:iCs/>
        </w:rPr>
        <w:t xml:space="preserve">Fostering open qualitative research - final project report</w:t>
      </w:r>
      <w:r>
        <w:t xml:space="preserve"> </w:t>
      </w:r>
      <w:r>
        <w:t xml:space="preserve">(report), The University of Sheffield. Retrieved from</w:t>
      </w:r>
      <w:r>
        <w:t xml:space="preserve"> </w:t>
      </w:r>
      <w:hyperlink r:id="rId41">
        <w:r>
          <w:rPr>
            <w:rStyle w:val="Hyperlink"/>
          </w:rPr>
          <w:t xml:space="preserve">https://orda.shef.ac.uk/articles/report/Fostering_Open_Qualitative_Research_-_Final_Project_Report/24807987/1</w:t>
        </w:r>
      </w:hyperlink>
    </w:p>
    <w:bookmarkEnd w:id="42"/>
    <w:bookmarkStart w:id="44" w:name="ref-jacquesPleaOpenAccess2024"/>
    <w:p>
      <w:pPr>
        <w:pStyle w:val="Bibliography"/>
      </w:pPr>
      <w:r>
        <w:t xml:space="preserve">Jacques, S., &amp; Wheeler, A. (2024, October 31). A plea for open access to qualitative criminology: with a python script for anonymizing data and illustrative analysis of error rates. doi:</w:t>
      </w:r>
      <w:hyperlink r:id="rId43">
        <w:r>
          <w:rPr>
            <w:rStyle w:val="Hyperlink"/>
          </w:rPr>
          <w:t xml:space="preserve">10.21428/cb6ab371.15d7c59e</w:t>
        </w:r>
      </w:hyperlink>
    </w:p>
    <w:bookmarkEnd w:id="44"/>
    <w:bookmarkStart w:id="46" w:name="ref-jarmanOpenDataSensitive2020"/>
    <w:p>
      <w:pPr>
        <w:pStyle w:val="Bibliography"/>
      </w:pPr>
      <w:r>
        <w:t xml:space="preserve">Jarman, B. (2020, December).</w:t>
      </w:r>
      <w:r>
        <w:t xml:space="preserve"> </w:t>
      </w:r>
      <w:r>
        <w:rPr>
          <w:i/>
          <w:iCs/>
        </w:rPr>
        <w:t xml:space="preserve">Open Data and sensitive interviews: Reflecting on ethics, consent, and reproducibility</w:t>
      </w:r>
      <w:r>
        <w:t xml:space="preserve">, Seminar, University of Cambridge Institute of Criminology: Apollo - University of Cambridge Repository. doi:</w:t>
      </w:r>
      <w:hyperlink r:id="rId45">
        <w:r>
          <w:rPr>
            <w:rStyle w:val="Hyperlink"/>
          </w:rPr>
          <w:t xml:space="preserve">10.17863/CAM.62157</w:t>
        </w:r>
      </w:hyperlink>
    </w:p>
    <w:bookmarkEnd w:id="46"/>
    <w:bookmarkStart w:id="48" w:name="ref-jarmanCanConfidentialResearch2021"/>
    <w:p>
      <w:pPr>
        <w:pStyle w:val="Bibliography"/>
      </w:pPr>
      <w:r>
        <w:t xml:space="preserve">Jarman, B. (2021, January).</w:t>
      </w:r>
      <w:r>
        <w:t xml:space="preserve"> </w:t>
      </w:r>
      <w:r>
        <w:rPr>
          <w:i/>
          <w:iCs/>
        </w:rPr>
        <w:t xml:space="preserve">Can confidential research be reproducible? Consent, ethics, prison interviews and the Open Research agenda</w:t>
      </w:r>
      <w:r>
        <w:t xml:space="preserve">, Conference paper, Cambridge. doi:</w:t>
      </w:r>
      <w:hyperlink r:id="rId47">
        <w:r>
          <w:rPr>
            <w:rStyle w:val="Hyperlink"/>
          </w:rPr>
          <w:t xml:space="preserve">10.17863/CAM.64602</w:t>
        </w:r>
      </w:hyperlink>
    </w:p>
    <w:bookmarkEnd w:id="48"/>
    <w:bookmarkStart w:id="50" w:name="ref-lavigneRedefiningRigorEmbracing2025"/>
    <w:p>
      <w:pPr>
        <w:pStyle w:val="Bibliography"/>
      </w:pPr>
      <w:r>
        <w:t xml:space="preserve">La Vigne, N. (2025).</w:t>
      </w:r>
      <w:r>
        <w:t xml:space="preserve"> </w:t>
      </w:r>
      <w:hyperlink r:id="rId49">
        <w:r>
          <w:rPr>
            <w:rStyle w:val="Hyperlink"/>
          </w:rPr>
          <w:t xml:space="preserve">Redefining rigor: embracing mixed methods research in criminology</w:t>
        </w:r>
      </w:hyperlink>
      <w:r>
        <w:t xml:space="preserve">.</w:t>
      </w:r>
      <w:r>
        <w:t xml:space="preserve"> </w:t>
      </w:r>
      <w:r>
        <w:rPr>
          <w:i/>
          <w:iCs/>
        </w:rPr>
        <w:t xml:space="preserve">The Criminologist</w:t>
      </w:r>
      <w:r>
        <w:t xml:space="preserve">,</w:t>
      </w:r>
      <w:r>
        <w:t xml:space="preserve"> </w:t>
      </w:r>
      <w:r>
        <w:rPr>
          <w:b/>
          <w:bCs/>
        </w:rPr>
        <w:t xml:space="preserve">51</w:t>
      </w:r>
      <w:r>
        <w:t xml:space="preserve">(1), 1–6.</w:t>
      </w:r>
    </w:p>
    <w:bookmarkEnd w:id="50"/>
    <w:bookmarkStart w:id="52" w:name="ref-nielsenMichaelNielsenOpen"/>
    <w:p>
      <w:pPr>
        <w:pStyle w:val="Bibliography"/>
      </w:pPr>
      <w:r>
        <w:t xml:space="preserve">Nielsen, M. (n.d.). Michael Nielsen: open science now! | TED talk. Retrieved 3 February 2025, from</w:t>
      </w:r>
      <w:r>
        <w:t xml:space="preserve"> </w:t>
      </w:r>
      <w:hyperlink r:id="rId51">
        <w:r>
          <w:rPr>
            <w:rStyle w:val="Hyperlink"/>
          </w:rPr>
          <w:t xml:space="preserve">https://www.ted.com/talks/michael_nielsen_open_science_now</w:t>
        </w:r>
      </w:hyperlink>
    </w:p>
    <w:bookmarkEnd w:id="52"/>
    <w:bookmarkStart w:id="54" w:name="ref-UKRIDevelopingNew2024"/>
    <w:p>
      <w:pPr>
        <w:pStyle w:val="Bibliography"/>
      </w:pPr>
      <w:r>
        <w:t xml:space="preserve">UKRI developing new research data policy framework. (2024, December 13). Retrieved 3 February 2025, from</w:t>
      </w:r>
      <w:r>
        <w:t xml:space="preserve"> </w:t>
      </w:r>
      <w:hyperlink r:id="rId53">
        <w:r>
          <w:rPr>
            <w:rStyle w:val="Hyperlink"/>
          </w:rPr>
          <w:t xml:space="preserve">https://www.ukri.org/news/ukri-developing-new-research-data-policy-framework/</w:t>
        </w:r>
      </w:hyperlink>
    </w:p>
    <w:bookmarkEnd w:id="54"/>
    <w:bookmarkStart w:id="56" w:name="X70d2c407d441d8ba0d18b5076b659f44ad3107d"/>
    <w:p>
      <w:pPr>
        <w:pStyle w:val="Bibliography"/>
      </w:pPr>
      <w:r>
        <w:t xml:space="preserve">Westbury, M., Candea, M., Gabrys, J., … Sharma, C. (2022).</w:t>
      </w:r>
      <w:r>
        <w:t xml:space="preserve"> </w:t>
      </w:r>
      <w:r>
        <w:rPr>
          <w:i/>
          <w:iCs/>
        </w:rPr>
        <w:t xml:space="preserve">Voice, Representation, Relationships: Report of the Open Qualitative Research Working Group</w:t>
      </w:r>
      <w:r>
        <w:t xml:space="preserve">, Apollo - University of Cambridge Repository. Retrieved from</w:t>
      </w:r>
      <w:r>
        <w:t xml:space="preserve"> </w:t>
      </w:r>
      <w:hyperlink r:id="rId55">
        <w:r>
          <w:rPr>
            <w:rStyle w:val="Hyperlink"/>
          </w:rPr>
          <w:t xml:space="preserve">https://www.repository.cam.ac.uk/handle/1810/344820</w:t>
        </w:r>
      </w:hyperlink>
    </w:p>
    <w:bookmarkEnd w:id="56"/>
    <w:bookmarkStart w:id="58" w:name="X2ee67a46b5e3c9ba0bf88f007db9f22cb3d95b0"/>
    <w:p>
      <w:pPr>
        <w:pStyle w:val="Bibliography"/>
      </w:pPr>
      <w:r>
        <w:t xml:space="preserve">White House Office of Science and Technology Policy (OSTP). (2022, August 25). Ensuring Free, Immediate, and Equitable Access to Federally Funded Research (</w:t>
      </w:r>
      <w:r>
        <w:t xml:space="preserve">‘The Nelson Memo’</w:t>
      </w:r>
      <w:r>
        <w:t xml:space="preserve">), Executive Office of the President of the United States. Retrieved from</w:t>
      </w:r>
      <w:r>
        <w:t xml:space="preserve"> </w:t>
      </w:r>
      <w:hyperlink r:id="rId57">
        <w:r>
          <w:rPr>
            <w:rStyle w:val="Hyperlink"/>
          </w:rPr>
          <w:t xml:space="preserve">https://bidenwhitehouse.archives.gov/wp-content/uploads/2022/08/08-2022-OSTP-Public-Access-Memo.pdf</w:t>
        </w:r>
      </w:hyperlink>
    </w:p>
    <w:bookmarkEnd w:id="58"/>
    <w:bookmarkStart w:id="60" w:name="ref-wilkinsonFAIRGuidingPrinciples2016"/>
    <w:p>
      <w:pPr>
        <w:pStyle w:val="Bibliography"/>
      </w:pPr>
      <w:r>
        <w:t xml:space="preserve">Wilkinson, M. D., Dumontier, M., Aalbersberg, Ij. J., … Mons, B. (2016).</w:t>
      </w:r>
      <w:r>
        <w:t xml:space="preserve"> </w:t>
      </w:r>
      <w:hyperlink r:id="rId59">
        <w:r>
          <w:rPr>
            <w:rStyle w:val="Hyperlink"/>
          </w:rPr>
          <w:t xml:space="preserve">The FAIR guiding principles for scientific data management and stewardship</w:t>
        </w:r>
      </w:hyperlink>
      <w:r>
        <w:t xml:space="preserve">.</w:t>
      </w:r>
      <w:r>
        <w:t xml:space="preserve"> </w:t>
      </w:r>
      <w:r>
        <w:rPr>
          <w:i/>
          <w:iCs/>
        </w:rPr>
        <w:t xml:space="preserve">Scientific Data</w:t>
      </w:r>
      <w:r>
        <w:t xml:space="preserve">,</w:t>
      </w:r>
      <w:r>
        <w:t xml:space="preserve"> </w:t>
      </w:r>
      <w:r>
        <w:rPr>
          <w:b/>
          <w:bCs/>
        </w:rPr>
        <w:t xml:space="preserve">3</w:t>
      </w:r>
      <w:r>
        <w:t xml:space="preserve">(1), 160018.</w:t>
      </w:r>
    </w:p>
    <w:bookmarkEnd w:id="60"/>
    <w:bookmarkStart w:id="61" w:name="ref-youngExpandingScopeTransparency2024"/>
    <w:p>
      <w:pPr>
        <w:pStyle w:val="Bibliography"/>
      </w:pPr>
      <w:r>
        <w:t xml:space="preserve">Young, J. T. N. (2024).</w:t>
      </w:r>
      <w:r>
        <w:t xml:space="preserve"> </w:t>
      </w:r>
      <w:hyperlink r:id="rId39">
        <w:r>
          <w:rPr>
            <w:rStyle w:val="Hyperlink"/>
          </w:rPr>
          <w:t xml:space="preserve">Expanding the scope of transparency in criminology</w:t>
        </w:r>
      </w:hyperlink>
      <w:r>
        <w:t xml:space="preserve">.</w:t>
      </w:r>
      <w:r>
        <w:t xml:space="preserve"> </w:t>
      </w:r>
      <w:r>
        <w:rPr>
          <w:i/>
          <w:iCs/>
        </w:rPr>
        <w:t xml:space="preserve">The Criminologist</w:t>
      </w:r>
      <w:r>
        <w:t xml:space="preserve">,</w:t>
      </w:r>
      <w:r>
        <w:t xml:space="preserve"> </w:t>
      </w:r>
      <w:r>
        <w:rPr>
          <w:b/>
          <w:bCs/>
        </w:rPr>
        <w:t xml:space="preserve">50</w:t>
      </w:r>
      <w:r>
        <w:t xml:space="preserve">(6), 7–9.</w:t>
      </w:r>
    </w:p>
    <w:bookmarkEnd w:id="61"/>
    <w:bookmarkEnd w:id="62"/>
    <w:bookmarkEnd w:id="63"/>
    <w:bookmarkEnd w:id="6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Collected, Organised, Recontextualised and Explained</w:t>
      </w:r>
    </w:p>
  </w:footnote>
  <w:footnote w:id="25">
    <w:p>
      <w:pPr>
        <w:pStyle w:val="FootnoteText"/>
      </w:pPr>
      <w:r>
        <w:rPr>
          <w:rStyle w:val="FootnoteReference"/>
        </w:rPr>
        <w:footnoteRef/>
      </w:r>
      <w:r>
        <w:t xml:space="preserve"> </w:t>
      </w:r>
      <w:r>
        <w:t xml:space="preserve">Collective benefit, Authority to control, Responsibility and Ethics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asc41.org/wp-content/uploads/ASC-Criminologist-2024-03.pdf" TargetMode="External" /><Relationship Type="http://schemas.openxmlformats.org/officeDocument/2006/relationships/hyperlink" Id="rId39" Target="https://asc41.org/wp-content/uploads/ASC-Criminologist-2024-11.pdf" TargetMode="External" /><Relationship Type="http://schemas.openxmlformats.org/officeDocument/2006/relationships/hyperlink" Id="rId49" Target="https://asc41.org/wp-content/uploads/ASC-Criminologist-2025-01.pdf" TargetMode="External" /><Relationship Type="http://schemas.openxmlformats.org/officeDocument/2006/relationships/hyperlink" Id="rId57" Target="https://bidenwhitehouse.archives.gov/wp-content/uploads/2022/08/08-2022-OSTP-Public-Access-Memo.pdf" TargetMode="External" /><Relationship Type="http://schemas.openxmlformats.org/officeDocument/2006/relationships/hyperlink" Id="rId59" Target="https://doi.org/10.1038/sdata.2016.18" TargetMode="External" /><Relationship Type="http://schemas.openxmlformats.org/officeDocument/2006/relationships/hyperlink" Id="rId45" Target="https://doi.org/10.17863/CAM.62157" TargetMode="External" /><Relationship Type="http://schemas.openxmlformats.org/officeDocument/2006/relationships/hyperlink" Id="rId47" Target="https://doi.org/10.17863/CAM.64602" TargetMode="External" /><Relationship Type="http://schemas.openxmlformats.org/officeDocument/2006/relationships/hyperlink" Id="rId33" Target="https://doi.org/10.20933/100001312" TargetMode="External" /><Relationship Type="http://schemas.openxmlformats.org/officeDocument/2006/relationships/hyperlink" Id="rId43" Target="https://doi.org/10.21428/cb6ab371.15d7c59e" TargetMode="External" /><Relationship Type="http://schemas.openxmlformats.org/officeDocument/2006/relationships/hyperlink" Id="rId37" Target="https://doi.org/10.21428/cb6ab371.e42226cb" TargetMode="External" /><Relationship Type="http://schemas.openxmlformats.org/officeDocument/2006/relationships/hyperlink" Id="rId41" Target="https://orda.shef.ac.uk/articles/report/Fostering_Open_Qualitative_Research_-_Final_Project_Report/24807987/1" TargetMode="External" /><Relationship Type="http://schemas.openxmlformats.org/officeDocument/2006/relationships/hyperlink" Id="rId55" Target="https://www.repository.cam.ac.uk/handle/1810/344820" TargetMode="External" /><Relationship Type="http://schemas.openxmlformats.org/officeDocument/2006/relationships/hyperlink" Id="rId51" Target="https://www.ted.com/talks/michael_nielsen_open_science_now" TargetMode="External" /><Relationship Type="http://schemas.openxmlformats.org/officeDocument/2006/relationships/hyperlink" Id="rId53" Target="https://www.ukri.org/news/ukri-developing-new-research-data-policy-framework/" TargetMode="External" /></Relationships>
</file>

<file path=word/_rels/footnotes.xml.rels><?xml version="1.0" encoding="UTF-8"?><Relationships xmlns="http://schemas.openxmlformats.org/package/2006/relationships"><Relationship Type="http://schemas.openxmlformats.org/officeDocument/2006/relationships/hyperlink" Id="rId35" Target="https://asc41.org/wp-content/uploads/ASC-Criminologist-2024-03.pdf" TargetMode="External" /><Relationship Type="http://schemas.openxmlformats.org/officeDocument/2006/relationships/hyperlink" Id="rId39" Target="https://asc41.org/wp-content/uploads/ASC-Criminologist-2024-11.pdf" TargetMode="External" /><Relationship Type="http://schemas.openxmlformats.org/officeDocument/2006/relationships/hyperlink" Id="rId49" Target="https://asc41.org/wp-content/uploads/ASC-Criminologist-2025-01.pdf" TargetMode="External" /><Relationship Type="http://schemas.openxmlformats.org/officeDocument/2006/relationships/hyperlink" Id="rId57" Target="https://bidenwhitehouse.archives.gov/wp-content/uploads/2022/08/08-2022-OSTP-Public-Access-Memo.pdf" TargetMode="External" /><Relationship Type="http://schemas.openxmlformats.org/officeDocument/2006/relationships/hyperlink" Id="rId59" Target="https://doi.org/10.1038/sdata.2016.18" TargetMode="External" /><Relationship Type="http://schemas.openxmlformats.org/officeDocument/2006/relationships/hyperlink" Id="rId45" Target="https://doi.org/10.17863/CAM.62157" TargetMode="External" /><Relationship Type="http://schemas.openxmlformats.org/officeDocument/2006/relationships/hyperlink" Id="rId47" Target="https://doi.org/10.17863/CAM.64602" TargetMode="External" /><Relationship Type="http://schemas.openxmlformats.org/officeDocument/2006/relationships/hyperlink" Id="rId33" Target="https://doi.org/10.20933/100001312" TargetMode="External" /><Relationship Type="http://schemas.openxmlformats.org/officeDocument/2006/relationships/hyperlink" Id="rId43" Target="https://doi.org/10.21428/cb6ab371.15d7c59e" TargetMode="External" /><Relationship Type="http://schemas.openxmlformats.org/officeDocument/2006/relationships/hyperlink" Id="rId37" Target="https://doi.org/10.21428/cb6ab371.e42226cb" TargetMode="External" /><Relationship Type="http://schemas.openxmlformats.org/officeDocument/2006/relationships/hyperlink" Id="rId41" Target="https://orda.shef.ac.uk/articles/report/Fostering_Open_Qualitative_Research_-_Final_Project_Report/24807987/1" TargetMode="External" /><Relationship Type="http://schemas.openxmlformats.org/officeDocument/2006/relationships/hyperlink" Id="rId55" Target="https://www.repository.cam.ac.uk/handle/1810/344820" TargetMode="External" /><Relationship Type="http://schemas.openxmlformats.org/officeDocument/2006/relationships/hyperlink" Id="rId51" Target="https://www.ted.com/talks/michael_nielsen_open_science_now" TargetMode="External" /><Relationship Type="http://schemas.openxmlformats.org/officeDocument/2006/relationships/hyperlink" Id="rId53" Target="https://www.ukri.org/news/ukri-developing-new-research-data-policy-frame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Whose data is it, anyway?</dc:title>
  <dc:creator>Ben Jarman</dc:creator>
  <dc:description>This talk uses prison research to explore how qualitative researchers can respond to growing pressure for open data sharing while also protecting research participants and maintaining methodological integrity.</dc:description>
  <dc:language>en-GB</dc:language>
  <cp:keywords>research ethics, research transparency, prison research, research methods, qualitative social science, open research, open data</cp:keywords>
  <dcterms:created xsi:type="dcterms:W3CDTF">2025-02-13T12:22:22Z</dcterms:created>
  <dcterms:modified xsi:type="dcterms:W3CDTF">2025-02-13T12:22:22Z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years have seen increasing pressure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 (DEAR, see Westbury et al. 2022),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reconcile the demands of the open research agenda with the integrity of their methodological and ethical approach.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jarmanWhoseDataAnyway2025.yaml</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12th February 2025</vt:lpwstr>
  </property>
  <property fmtid="{D5CDD505-2E9C-101B-9397-08002B2CF9AE}" pid="15" name="date-format">
    <vt:lpwstr>Do MMMM YYYY</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Qualitative criminology, prisons, and the Open Research agenda</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nlisted">
    <vt:lpwstr>True</vt:lpwstr>
  </property>
</Properties>
</file>