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Date"/>
      </w:pPr>
      <w:r>
        <w:t xml:space="preserve">2025-11-13</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the institutions on which it focusses. Classic sociological texts treated prisons as analogous to other organisations, not as punitive institutions. Most obviously,</w:t>
      </w:r>
      <w:r>
        <w:t xml:space="preserve"> </w:t>
      </w:r>
      <w:r>
        <w:rPr>
          <w:i/>
          <w:iCs/>
        </w:rPr>
        <w:t xml:space="preserve">Asylums</w:t>
      </w:r>
      <w:r>
        <w:t xml:space="preserve"> </w:t>
      </w:r>
      <w:r>
        <w:t xml:space="preserve">(</w:t>
      </w:r>
      <w:hyperlink w:anchor="ref-goffmanAsylumsEssaysSocial1961">
        <w:r>
          <w:rPr>
            <w:rStyle w:val="Hyperlink"/>
          </w:rPr>
          <w:t xml:space="preserve">Goffman 1961</w:t>
        </w:r>
      </w:hyperlink>
      <w:r>
        <w:t xml:space="preserve">)</w:t>
      </w:r>
      <w:r>
        <w:t xml:space="preserve"> </w:t>
      </w:r>
      <w:r>
        <w:t xml:space="preserve">bundled them with monasteries, boarding schools and military barracks as</w:t>
      </w:r>
      <w:r>
        <w:t xml:space="preserve"> </w:t>
      </w:r>
      <w:r>
        <w:t xml:space="preserve">“total institutions”</w:t>
      </w:r>
      <w:r>
        <w:t xml:space="preserve">.</w:t>
      </w:r>
      <w:r>
        <w:t xml:space="preserve"> </w:t>
      </w:r>
      <w:r>
        <w:rPr>
          <w:i/>
          <w:iCs/>
        </w:rPr>
        <w:t xml:space="preserve">The Society of Captives</w:t>
      </w:r>
      <w:r>
        <w:t xml:space="preserve"> </w:t>
      </w:r>
      <w:r>
        <w:t xml:space="preserve">(</w:t>
      </w:r>
      <w:hyperlink w:anchor="ref-sykesSocietyCaptivesStudy1958">
        <w:r>
          <w:rPr>
            <w:rStyle w:val="Hyperlink"/>
          </w:rPr>
          <w:t xml:space="preserve">Sykes 1958 p. xiv</w:t>
        </w:r>
      </w:hyperlink>
      <w:r>
        <w:t xml:space="preserve">)</w:t>
      </w:r>
      <w:r>
        <w:t xml:space="preserve"> </w:t>
      </w:r>
      <w:r>
        <w:t xml:space="preserve">likewise saw prisons as systems for</w:t>
      </w:r>
      <w:r>
        <w:t xml:space="preserve"> </w:t>
      </w:r>
      <w:r>
        <w:t xml:space="preserve">“total or almost total social control”</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and not as an institution with a distinctive purpose and culture relating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Debates about imprisonment have often framed it as a technical or managerial task, rather than one infused with normative implications, as if prisons have</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Such studies have explored the forms of power that prisons impose, the values by which they operate, and the ways prisoners are treated as moral agents. They contribute to broader debates about the extent to which,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their perpetrators, and which therefore provide the animating force for the way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or to centre it analytically. Using three case studies, we then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20"/>
    <w:bookmarkStart w:id="21"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 one characteristic they shared.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In both examples, the goal was to theorise adaptative styles via categories derived from conviction types and criminal orientations; neither explored how members of these analytical groupings reflected upon the meanings of their convictions. A similar approach persisted in later texts concerned with prison order, where the offence continued to feature primarily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exist to this pattern, most prominently the moral distinctions made by prisoners and staff regarding sexual offences, including their low status within prisoner hierarchies</w:t>
      </w:r>
      <w:r>
        <w:t xml:space="preserve"> </w:t>
      </w:r>
      <w:r>
        <w:t xml:space="preserve">(</w:t>
      </w:r>
      <w:hyperlink w:anchor="Xa3a3e75394b4beeb405c4f2461d85f8aa3e571d">
        <w:r>
          <w:rPr>
            <w:rStyle w:val="Hyperlink"/>
          </w:rPr>
          <w:t xml:space="preserve">Cohen &amp; Taylor 1972</w:t>
        </w:r>
      </w:hyperlink>
      <w:r>
        <w:t xml:space="preserve">)</w:t>
      </w:r>
      <w:r>
        <w:t xml:space="preserve">, the intensified staff control to which they are subjected</w:t>
      </w:r>
      <w:r>
        <w:t xml:space="preserve"> </w:t>
      </w:r>
      <w:r>
        <w:t xml:space="preserve">(</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w:t>
      </w:r>
      <w:r>
        <w:t xml:space="preserve">and the increased isolation, guilt and shame they experience</w:t>
      </w:r>
      <w:r>
        <w:t xml:space="preserve"> </w:t>
      </w:r>
      <w:r>
        <w:t xml:space="preserve">(</w:t>
      </w:r>
      <w:hyperlink w:anchor="Xae8f9a76eb5fe7fb36b08ee73fcba34cbb6beb5">
        <w:r>
          <w:rPr>
            <w:rStyle w:val="Hyperlink"/>
          </w:rPr>
          <w:t xml:space="preserve">Sapsford 1979</w:t>
        </w:r>
      </w:hyperlink>
      <w:r>
        <w:t xml:space="preserve">)</w:t>
      </w:r>
      <w:r>
        <w:t xml:space="preserve">; indeed,</w:t>
      </w:r>
      <w:r>
        <w:t xml:space="preserve"> </w:t>
      </w:r>
      <w:r>
        <w:t xml:space="preserve">Mathiesen (</w:t>
      </w:r>
      <w:hyperlink w:anchor="Xb5721ec5c9938b01fc4c1e0bbcd2eff661feac8">
        <w:r>
          <w:rPr>
            <w:rStyle w:val="Hyperlink"/>
          </w:rPr>
          <w:t xml:space="preserve">1965</w:t>
        </w:r>
      </w:hyperlink>
      <w:r>
        <w:t xml:space="preserve">)</w:t>
      </w:r>
      <w:r>
        <w:t xml:space="preserve"> </w:t>
      </w:r>
      <w:r>
        <w:t xml:space="preserve">suggested that</w:t>
      </w:r>
      <w:r>
        <w:t xml:space="preserve"> </w:t>
      </w:r>
      <w:r>
        <w:t xml:space="preserve">“censorious”</w:t>
      </w:r>
      <w:r>
        <w:t xml:space="preserve"> </w:t>
      </w:r>
      <w:r>
        <w:t xml:space="preserve">approaches to authorities could be a way of adapting to sentiments of guilt. In</w:t>
      </w:r>
      <w:r>
        <w:t xml:space="preserve"> </w:t>
      </w:r>
      <w:r>
        <w:rPr>
          <w:i/>
          <w:iCs/>
        </w:rPr>
        <w:t xml:space="preserve">Psychological Survival</w:t>
      </w:r>
      <w:r>
        <w:t xml:space="preserve">, Cohen and Taylor</w:t>
      </w:r>
      <w:r>
        <w:t xml:space="preserve"> </w:t>
      </w:r>
      <w:r>
        <w:t xml:space="preserve">(</w:t>
      </w:r>
      <w:hyperlink w:anchor="Xa3a3e75394b4beeb405c4f2461d85f8aa3e571d">
        <w:r>
          <w:rPr>
            <w:rStyle w:val="Hyperlink"/>
          </w:rPr>
          <w:t xml:space="preserve">1972</w:t>
        </w:r>
      </w:hyperlink>
      <w:r>
        <w:t xml:space="preserve">)</w:t>
      </w:r>
      <w:r>
        <w:t xml:space="preserve"> </w:t>
      </w:r>
      <w:r>
        <w:t xml:space="preserve">addressed guilt and shame only in relation to their typological</w:t>
      </w:r>
      <w:r>
        <w:t xml:space="preserve"> </w:t>
      </w:r>
      <w:r>
        <w:t xml:space="preserve">‘sinners’</w:t>
      </w:r>
      <w:r>
        <w:t xml:space="preserve"> </w:t>
      </w:r>
      <w:r>
        <w:t xml:space="preserve">(men convicted of sexual offences). Yet Fielding and Fielding’s</w:t>
      </w:r>
      <w:r>
        <w:t xml:space="preserve"> </w:t>
      </w:r>
      <w:r>
        <w:t xml:space="preserve">(</w:t>
      </w:r>
      <w:hyperlink w:anchor="Xf7caac3058b6036e15ce3ad95fbe27ac927e0b0">
        <w:r>
          <w:rPr>
            <w:rStyle w:val="Hyperlink"/>
          </w:rPr>
          <w:t xml:space="preserve">2008</w:t>
        </w:r>
      </w:hyperlink>
      <w:r>
        <w:t xml:space="preserve">)</w:t>
      </w:r>
      <w:r>
        <w:t xml:space="preserve"> </w:t>
      </w:r>
      <w:r>
        <w:t xml:space="preserve">re-analysis of their archived materials uncovered these emotions across the sample. The Durham prisoners felt safe to surface these emotions in Cohen and Taylor’s classroom</w:t>
      </w:r>
      <w:r>
        <w:t xml:space="preserve"> </w:t>
      </w:r>
      <w:r>
        <w:t xml:space="preserve">“without worrying about being evaluated”</w:t>
      </w:r>
      <w:r>
        <w:t xml:space="preserve"> </w:t>
      </w:r>
      <w:r>
        <w:t xml:space="preserve">by the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2008</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2009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w:t>
      </w:r>
      <w:hyperlink w:anchor="ref-herbertTooEasyKeep2019">
        <w:r>
          <w:rPr>
            <w:rStyle w:val="Hyperlink"/>
          </w:rPr>
          <w:t xml:space="preserve">Herbert 2019</w:t>
        </w:r>
      </w:hyperlink>
      <w:r>
        <w:t xml:space="preserve">; cf.</w:t>
      </w:r>
      <w:r>
        <w:t xml:space="preserve"> </w:t>
      </w:r>
      <w:hyperlink w:anchor="X376f4432f0a458a8ef978d63ff7e061be0d74ef">
        <w:r>
          <w:rPr>
            <w:rStyle w:val="Hyperlink"/>
          </w:rPr>
          <w:t xml:space="preserve">Schinkel 2014</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to retain moral value despite discrediting convictions, asserting masculine legitimacy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Men convicted of murder in different circumstances hold varying attitudes about what was wrongful in their actions, while the narrative impact of sentences varies with age at conviction, because of the different ways the sentence impacts life trajectories</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the futility of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(often oblique)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not only formally via interventions and risk assessments, but also informally via spatial segregation, distinctive treatment regimes, and everyday interactions marking certain people as morally distinct. Such censure is often oblique and inconsistent, with prisoners’ interpretations of it often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with the medium of imprisonment distorting the message.</w:t>
      </w:r>
    </w:p>
    <w:p>
      <w:pPr>
        <w:pStyle w:val="BodyText"/>
      </w:pPr>
      <w:r>
        <w:t xml:space="preserve">Increasingly, researchers have also described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experienced their offence as</w:t>
      </w:r>
      <w:r>
        <w:t xml:space="preserve"> </w:t>
      </w:r>
      <w:r>
        <w:t xml:space="preserve">“unambiguously shameful”</w:t>
      </w:r>
      <w:r>
        <w:t xml:space="preserve">, and that this shaped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2021</w:t>
        </w:r>
      </w:hyperlink>
      <w:r>
        <w:t xml:space="preserve">;</w:t>
      </w:r>
      <w:r>
        <w:t xml:space="preserve"> </w:t>
      </w:r>
      <w:hyperlink w:anchor="Xfb4223acfbb1f27e28d8aeb6708b33873291785">
        <w:r>
          <w:rPr>
            <w:rStyle w:val="Hyperlink"/>
          </w:rPr>
          <w:t xml:space="preserve">Dagan &amp; Segev 2015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unintentional messages by staff, are also analytically important</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also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2009</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2022</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understood to signify types of people, but seldom analysed either as a moral category forced onto individuals, or as an act holding ethical significance for the perpetrator. Recently, though, the offence is a more explicit focus.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Given that, in most countries, imprisonment is the archetypal form of punishment, and prisons so often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a shift towards questions of purpose is an important step, since the</w:t>
      </w:r>
      <w:r>
        <w:t xml:space="preserve"> </w:t>
      </w:r>
      <w:r>
        <w:rPr>
          <w:i/>
          <w:iCs/>
        </w:rPr>
        <w:t xml:space="preserve">kinds</w:t>
      </w:r>
      <w:r>
        <w:t xml:space="preserve"> </w:t>
      </w:r>
      <w:r>
        <w:t xml:space="preserve">of insight which might be expected vary accordingly.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21"/>
    <w:bookmarkStart w:id="24"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22"/>
      </w:r>
      <w:r>
        <w:t xml:space="preserve"> </w:t>
      </w:r>
      <w:r>
        <w:t xml:space="preserve">holds it inappropriate to ask an incarcerated person directly about the details of their offence.</w:t>
      </w:r>
      <w:r>
        <w:rPr>
          <w:rStyle w:val="FootnoteReference"/>
        </w:rPr>
        <w:footnoteReference w:id="23"/>
      </w:r>
      <w:r>
        <w:t xml:space="preserve"> </w:t>
      </w:r>
      <w:r>
        <w:t xml:space="preserve">This norm is framed primarily as an ethical imperative. Asking people what they did to be there—it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construct prisoners as</w:t>
      </w:r>
      <w:r>
        <w:t xml:space="preserve"> </w:t>
      </w:r>
      <w:r>
        <w:rPr>
          <w:i/>
          <w:iCs/>
        </w:rPr>
        <w:t xml:space="preserve">bad people</w:t>
      </w:r>
      <w:r>
        <w:t xml:space="preserve">, prison researchers have tended to swerve or reject such judgments. This might reflect ideological or political commitment, as where critical scholars sympathise with prisoners (i.e. as victims or anti-heroes), and direct judgment towards the carceral institution rather than incarcerated people. More often, however, the norm seems likely to have been transmitted through methodological training and supervision, becoming embedded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w:t>
      </w:r>
      <w:hyperlink w:anchor="X376f4432f0a458a8ef978d63ff7e061be0d74ef">
        <w:r>
          <w:rPr>
            <w:rStyle w:val="Hyperlink"/>
          </w:rPr>
          <w:t xml:space="preserve">Schinkel 2014</w:t>
        </w:r>
      </w:hyperlink>
      <w:r>
        <w:t xml:space="preserve">; though see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position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in prison research. When researchers study prisoner social relations or penal order, it can feel digressive to discuss prisoners’ thoughts on whether the penalty fits their crime, or their internal battles to maintain a self-image of respectability.</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reflections in more private spaces. Cells are where prisoners spend much of their time, affording headspace for reflection. Though the offence may be more present in such spaces, but methodologically they are fairly inaccessible, with practices of contemplation and rumination there leaving no obvious trace.</w:t>
      </w:r>
    </w:p>
    <w:p>
      <w:pPr>
        <w:pStyle w:val="BodyText"/>
      </w:pPr>
      <w:r>
        <w:t xml:space="preserve">Nonetheless, our conjecture is that many prison scholars hear reflections on the implications of prisoners’ offences and convictions but exclude these from their accounts. We find it hard to imagine that anyone who interviewing people convicted of serious offences has not been presented with narratives of regret, indignation, and other moral emotions. Indeed, many with more minor offences offer moral narratives about the events leading to their current circumstances: why they burgled houses, or dealt drugs, for example. If violence and other crimes are communicative, not enquiring about them means not taking seriously what they attempted to express. To deflect discussion of the offence might be as disrespectful as to probe too deeply.</w:t>
      </w:r>
    </w:p>
    <w:p>
      <w:pPr>
        <w:pStyle w:val="BodyText"/>
      </w:pPr>
      <w:r>
        <w:t xml:space="preserve">How does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lies misunderstand them; rather, they should be examined for what they reveal about prisons and punishment. Evaluating narratives purely by their fidelity to</w:t>
      </w:r>
      <w:r>
        <w:t xml:space="preserve"> </w:t>
      </w:r>
      <w:r>
        <w:t xml:space="preserve">‘the established facts of the case’</w:t>
      </w:r>
      <w:r>
        <w:t xml:space="preserve"> </w:t>
      </w:r>
      <w:r>
        <w:t xml:space="preserve">unduly privileges the conviction as a complete and authoritative record, whilst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Rather,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after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 degree to which they focused directly on the offence varied, all these projects employed semi-structured interviews that allowed participants to narrate their experiences of imprisonment and relationship to their convictions. In all three, we deliberately asked some questions about the offence and/or conviction, and how these impacted people’s sense of self, the prison’s social world, and the extent to which they were a target of power. All of us felt that participants’ willingness to discuss these matters required us to avoid displaying the shock or revulsion some seemed to anticipate (though for researchers to become completely dispassionate might also be unwise). Existing work on the ethical considerations involved in interviewing people convicted of serious, and particularly sexual, crimes often focuses on the converse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focus of the research project is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ievinsNobodysBetterYou2015">
        <w:r>
          <w:rPr>
            <w:rStyle w:val="Hyperlink"/>
          </w:rPr>
          <w:t xml:space="preserve">Ievins &amp; Crewe 2015</w:t>
        </w:r>
      </w:hyperlink>
      <w:r>
        <w:t xml:space="preserve">;</w:t>
      </w:r>
      <w:r>
        <w:t xml:space="preserve"> </w:t>
      </w:r>
      <w:hyperlink w:anchor="ref-malcolmJournalistMurderer1990">
        <w:r>
          <w:rPr>
            <w:rStyle w:val="Hyperlink"/>
          </w:rPr>
          <w:t xml:space="preserve">Malcolm 1990</w:t>
        </w:r>
      </w:hyperlink>
      <w:r>
        <w:t xml:space="preserve">)</w:t>
      </w:r>
      <w:r>
        <w:t xml:space="preserve">. However, that need not stop us from recognising the continuing effect of the offence in their lives, via the sense they make from it.</w:t>
      </w:r>
    </w:p>
    <w:p>
      <w:pPr>
        <w:pStyle w:val="BodyText"/>
      </w:pPr>
      <w:r>
        <w:t xml:space="preserve">The case studies were selected in line with our theoretical aim: to describe individuals for whom the offence was salient in ways that exemplify our argument. Serious offences define the severity of the sentence and subsequent progression pathways, regardless of how individuals relate to it psychologically. Across our studies more broadly, its subjective significance varied considerably. We acknowledge that someone serving a tenth short burglary sentence might not ruminate on a specific conviction exactly as our case studies did. Yet even where the offence fails to dominate mental headspace in this way, and hence (in our framework) does not shape what prison is like, it remains analytically significant for understanding how prisons communicate censure, and what purposes they serve.</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24"/>
    <w:bookmarkStart w:id="30"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the prison,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It attends not only to objective features of the penal setting, but also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our contention is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about and attempting to mould their reflections on their convictions. Here, we ask what messages prisons transmit about particular offences, and how these messages are delivered. This encompasses both explicit communications, such as those occurring via therapeutic intervention or risk assessment, and implicit ones embedded in everyday practices and interactions. It also involves material practices of treatment and intervention, from staff conduct to direct engagement with prisoners’ offending behaviour. Theoretically, this raises questions about how prisoners navigate and interpret the often oblique and inconsistent messages they receive and the various forms of institutional action to which they are subjected.</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therefore connects to how we theorise prison legitimacy, and to broader questions about whether prisons deliver something more salutary than mere pain, and how their harms can be justified. These questions are shaped by rationales defending the use of imprisonment, and the extent to which their aims are realised. Different penal logics—whether retributive, rehabilitative, deterrent, or incapacitative—imply different messages about wrongdoing. They also co-exist within the same institutional context, producing tensions and contradictions. Still, both the content of censure, and the efficacy of prisons in delivering it, are amenable to empirical investigation, in ways that place the offence—how it is understood by both the individual and the institution—centre-stage.</w:t>
      </w:r>
    </w:p>
    <w:bookmarkStart w:id="27" w:name="mick"/>
    <w:p>
      <w:pPr>
        <w:pStyle w:val="Heading2"/>
      </w:pPr>
      <w:r>
        <w:t xml:space="preserve">Mick</w:t>
      </w:r>
    </w:p>
    <w:p>
      <w:pPr>
        <w:pStyle w:val="FirstParagraph"/>
      </w:pPr>
      <w:r>
        <w:t xml:space="preserve">Mick, held in a medium-security prison for men convicted of sex offences, was heavily involved in the informal prisoner economy, and frequently got into bitter, public arguments with prison staff.</w:t>
      </w:r>
      <w:r>
        <w:rPr>
          <w:rStyle w:val="FootnoteReference"/>
        </w:rPr>
        <w:footnoteReference w:id="25"/>
      </w:r>
      <w:r>
        <w:t xml:space="preserve"> </w:t>
      </w:r>
      <w:r>
        <w:t xml:space="preserve">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26"/>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27"/>
    <w:bookmarkStart w:id="28"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28"/>
    <w:bookmarkStart w:id="29"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p>
    <w:p>
      <w:pPr>
        <w:pStyle w:val="BlockText"/>
      </w:pPr>
      <w:r>
        <w:t xml:space="preserve">Yes. My religion. [Long pause] My family. Myself.</w:t>
      </w:r>
    </w:p>
    <w:p>
      <w:pPr>
        <w:pStyle w:val="BlockText"/>
      </w:pPr>
      <w:r>
        <w:rPr>
          <w:i/>
          <w:iCs/>
        </w:rPr>
        <w:t xml:space="preserve">You’ve gained yourself?</w:t>
      </w:r>
    </w:p>
    <w:p>
      <w:pPr>
        <w:pStyle w:val="BlockText"/>
      </w:pP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29"/>
    <w:bookmarkEnd w:id="30"/>
    <w:bookmarkStart w:id="33" w:name="discussion"/>
    <w:p>
      <w:pPr>
        <w:pStyle w:val="Heading1"/>
      </w:pPr>
      <w:r>
        <w:t xml:space="preserve">Discussion</w:t>
      </w:r>
    </w:p>
    <w:p>
      <w:pPr>
        <w:pStyle w:val="FirstParagraph"/>
      </w:pPr>
      <w:r>
        <w:t xml:space="preserve">Attending to the offence clarifies what imprisonment is like,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depict social dynamics as responses to urgent needs—mitigating deprivation, securing safety, defending interests, protecting identity. In this paradigm, the solutions offered by social interaction impel prisoners’ actions in almost mechanical ways. This framework is persuasive but reductive, overlooking the moral and psychic drives which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placing the offence centre-stage. For all three, the importance of the prisoner social world is subordinate to the task of coming to terms with feelings of shame and bewilderment. Nicholas’s social practices might mislead us about what it is to be imprisoned: apparent outward adjustment might conceal inward turbulence.</w:t>
      </w:r>
    </w:p>
    <w:p>
      <w:pPr>
        <w:pStyle w:val="BodyText"/>
      </w:pPr>
      <w:r>
        <w:t xml:space="preserve">This contrast between outward and inward realities enriches our understanding of topics of longstanding interest to prison sociologists. For example, staff-prisoner relationships have typically been understood through criminal codes, authority orientations, and power disparities</w:t>
      </w:r>
      <w:r>
        <w:t xml:space="preserve"> </w:t>
      </w:r>
      <w:r>
        <w:t xml:space="preserve">(e.g.</w:t>
      </w:r>
      <w:r>
        <w:t xml:space="preserve"> </w:t>
      </w:r>
      <w:hyperlink w:anchor="Xa3a3e75394b4beeb405c4f2461d85f8aa3e571d">
        <w:r>
          <w:rPr>
            <w:rStyle w:val="Hyperlink"/>
          </w:rPr>
          <w:t xml:space="preserve">Cohen &amp; Taylor 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w:t>
      </w:r>
      <w:r>
        <w:t xml:space="preserve">nor act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 regime he felt was undeserved, Chris’s general disengagement and resistance to activity that would vivify his intrusive thoughts, and Nicholas’s inability, prior to therapeutic input, to contemplate life as a free citizen who had taken responsibility for his past actions. Just as (non)compliance among prisoners can be motivated by how they feel about the legitimacy of their treatment</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so too it is shaped by how they feel about the offence for which they have been convicted.</w:t>
      </w:r>
    </w:p>
    <w:p>
      <w:pPr>
        <w:pStyle w:val="BodyText"/>
      </w:pPr>
      <w:r>
        <w:t xml:space="preserve">The topic of social relations illustrates the same point. How our examples chose to interact with their peers, involve themselves in the prisoner society, or self-isolate, cannot be attributed only to the idea of</w:t>
      </w:r>
      <w:r>
        <w:t xml:space="preserve"> </w:t>
      </w:r>
      <w:r>
        <w:t xml:space="preserve">‘problem-solving’</w:t>
      </w:r>
      <w:r>
        <w:t xml:space="preserve">. Their choices also reflected comparative moral evaluations prompted by the offence and the conviction, as filtered through emotions like disgust (Mick), the capacity to handle ruminative turmoil (Chris), or the challenges of accounting for one’s actions to others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not just</w:t>
      </w:r>
      <w:r>
        <w:t xml:space="preserve"> </w:t>
      </w:r>
      <w:r>
        <w:t xml:space="preserve">‘escape activities’</w:t>
      </w:r>
      <w:r>
        <w:t xml:space="preserve"> </w:t>
      </w:r>
      <w:r>
        <w:t xml:space="preserve">(</w:t>
      </w:r>
      <w:hyperlink w:anchor="ref-goffmanAsylumsEssaysSocial1961">
        <w:r>
          <w:rPr>
            <w:rStyle w:val="Hyperlink"/>
          </w:rPr>
          <w:t xml:space="preserve">Goffman 1961</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the second dimension of our framework, considering the offence clarifies something significant about</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 deliberate target of power—as when prisons seek to equip people with</w:t>
      </w:r>
      <w:r>
        <w:t xml:space="preserve"> </w:t>
      </w:r>
      <w:r>
        <w:t xml:space="preserve">‘skills’</w:t>
      </w:r>
      <w:r>
        <w:t xml:space="preserve"> </w:t>
      </w:r>
      <w:r>
        <w:t xml:space="preserve">which will help them to manage their risk in future—and sometimes the basis of organisational categorisation: e.g. Mick was classed as a</w:t>
      </w:r>
      <w:r>
        <w:t xml:space="preserve"> </w:t>
      </w:r>
      <w:r>
        <w:t xml:space="preserve">“sex offender”</w:t>
      </w:r>
      <w:r>
        <w:t xml:space="preserve"> </w:t>
      </w:r>
      <w:r>
        <w:t xml:space="preserve">and held among people who were similarly categorised, but from whom he felt morally distinct.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how prisons are organised, influences how people reflect on and relate to their conviction. As our case studies illustrate, these processes differ considerably, but are key to understanding the subjective processing of moral and penal censure. Nicholas, for example, offers a rare example of a period of imprisonment facilitating what he considered a more productive relationship between himself and his offence, enabling him to</w:t>
      </w:r>
      <w:r>
        <w:t xml:space="preserve"> </w:t>
      </w:r>
      <w:r>
        <w:t xml:space="preserve">“sit with”</w:t>
      </w:r>
      <w:r>
        <w:t xml:space="preserve"> </w:t>
      </w:r>
      <w:r>
        <w:t xml:space="preserve">his culpability.</w:t>
      </w:r>
      <w:r>
        <w:rPr>
          <w:rStyle w:val="FootnoteReference"/>
        </w:rPr>
        <w:footnoteReference w:id="31"/>
      </w:r>
      <w:r>
        <w:t xml:space="preserve"> </w:t>
      </w:r>
      <w:r>
        <w:t xml:space="preserve">Mick, in contrast, felt imprisonment might potentially have helped him</w:t>
      </w:r>
      <w:r>
        <w:t xml:space="preserve"> </w:t>
      </w:r>
      <w:r>
        <w:t xml:space="preserve">“come to terms with everything that’s happened”</w:t>
      </w:r>
      <w:r>
        <w:t xml:space="preserve">, but experiences of misrecognition and unmerited punishment blocked this process. He was left oscillating between bitter resentment and profound shame, prompted by the harms for which he did feel responsible. Chris, meanwhile, assumed that the system judged him harshly, presuming this to reflect his own self-evaluation. Such was the depth of his self-disgust, however, that external engagement was neither needed nor wanted, and he could access no route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One of the paradoxes of the modern prison, however, is that it takes a hitherto public and participatory procedure like punishment, and then obscures it 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By considering the moral messages it conveys, however, we can cast light on imprisonment’s punitive functions, seeing it not as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stimulating discussion about the justifications of punishment and the extent to which prisons can achieve them.</w:t>
      </w:r>
    </w:p>
    <w:p>
      <w:pPr>
        <w:pStyle w:val="BodyText"/>
      </w:pPr>
      <w:r>
        <w:t xml:space="preserve">Our case studies offer evidence of problems with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the goal of accountability.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His therapeutic intervention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w:t>
      </w:r>
      <w:r>
        <w:rPr>
          <w:rStyle w:val="FootnoteReference"/>
        </w:rPr>
        <w:footnoteReference w:id="32"/>
      </w:r>
      <w:r>
        <w:t xml:space="preserve"> </w:t>
      </w:r>
      <w:r>
        <w:t xml:space="preserve">It is striking that Nicholas clearly articulated concern for his victims, and expressed the view that his obligations to them were not fully discharged. Like Mick, Nicholas was troubled that his punishment denied him the opportunity to apologise to and make amends with the people he had harmed. In other words, both men suffered because their punishment felt like an incomplete ritual—at best, bringing them to the point of desiring repair, but unable to actually achieve it. These cases thus reveal how contemporary imprisonment often initiates—without completing—the moral work of censure that punishment is claimed to perform. Seen in this way, prisons thwart the punitive ritual which is claimed to justify their use in the first place.</w:t>
      </w:r>
    </w:p>
    <w:bookmarkEnd w:id="33"/>
    <w:bookmarkStart w:id="35"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prison research has closely studied these aspects of imprisonment, documenting how criminal offences and their moral implications infuse its lifeworld. The prison’s role</w:t>
      </w:r>
      <w:r>
        <w:t xml:space="preserve"> </w:t>
      </w:r>
      <w:r>
        <w:rPr>
          <w:i/>
          <w:iCs/>
        </w:rPr>
        <w:t xml:space="preserve">as a punitive institution</w:t>
      </w:r>
      <w:r>
        <w:t xml:space="preserve"> </w:t>
      </w:r>
      <w:r>
        <w:t xml:space="preserve">should be more central to how we theorise it. Prisons deliberately impose suffering on those who are deemed to deserve it for their imputed wrongdoing. Meanwhile, in wrestling with the implications of what they have done, or are deemed to have done, those people engage in a range of ways with what it means to be punished, and—often—to punish oneself.</w:t>
      </w:r>
    </w:p>
    <w:p>
      <w:pPr>
        <w:pStyle w:val="BodyText"/>
      </w:pPr>
      <w:r>
        <w:t xml:space="preserve">This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Nevertheless, the analytical framework can extend more broadly.</w:t>
      </w:r>
      <w:r>
        <w:rPr>
          <w:rStyle w:val="FootnoteReference"/>
        </w:rPr>
        <w:footnoteReference w:id="34"/>
      </w:r>
      <w:r>
        <w:t xml:space="preserve"> </w:t>
      </w:r>
      <w:r>
        <w:t xml:space="preserve">There is plentiful evidence that people serving short sentences often grapple with, and then act upon, feelings of shame, resentment and existential futility</w:t>
      </w:r>
      <w:r>
        <w:t xml:space="preserve"> </w:t>
      </w:r>
      <w:r>
        <w:t xml:space="preserve">(</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The very meaninglessness characterising these experiences reveals something important about what prisons are</w:t>
      </w:r>
      <w:r>
        <w:t xml:space="preserve"> </w:t>
      </w:r>
      <w:r>
        <w:rPr>
          <w:i/>
          <w:iCs/>
        </w:rPr>
        <w:t xml:space="preserve">for</w:t>
      </w:r>
      <w:r>
        <w:t xml:space="preserve">, in cases where accumulating penal harms vastly exceed the gravity of individual offences.</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35"/>
    <w:bookmarkStart w:id="154" w:name="references"/>
    <w:p>
      <w:pPr>
        <w:pStyle w:val="Heading1"/>
      </w:pPr>
      <w:r>
        <w:t xml:space="preserve">References</w:t>
      </w:r>
    </w:p>
    <w:bookmarkStart w:id="153" w:name="refs"/>
    <w:bookmarkStart w:id="37" w:name="X5541ede60ea981975e56ecbc8f3dc582979a802"/>
    <w:p>
      <w:pPr>
        <w:pStyle w:val="Bibliography"/>
      </w:pPr>
      <w:r>
        <w:t xml:space="preserve">Armstrong, S., &amp; Weaver, B. (2013).</w:t>
      </w:r>
      <w:r>
        <w:t xml:space="preserve"> </w:t>
      </w:r>
      <w:hyperlink r:id="rId36">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37"/>
    <w:bookmarkStart w:id="39" w:name="X380135df46556ce78bd2024f909ff3112a761cb"/>
    <w:p>
      <w:pPr>
        <w:pStyle w:val="Bibliography"/>
      </w:pPr>
      <w:r>
        <w:t xml:space="preserve">Blagden, N., &amp; Pemberton, S. (2010).</w:t>
      </w:r>
      <w:r>
        <w:t xml:space="preserve"> </w:t>
      </w:r>
      <w:hyperlink r:id="rId38">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39"/>
    <w:bookmarkStart w:id="40"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40"/>
    <w:bookmarkStart w:id="41"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41"/>
    <w:bookmarkStart w:id="42" w:name="Xa3a3e75394b4beeb405c4f2461d85f8aa3e571d"/>
    <w:p>
      <w:pPr>
        <w:pStyle w:val="Bibliography"/>
      </w:pPr>
      <w:r>
        <w:t xml:space="preserve">Cohen, S., &amp; Taylor, L. (1972).</w:t>
      </w:r>
      <w:r>
        <w:t xml:space="preserve"> </w:t>
      </w:r>
      <w:r>
        <w:rPr>
          <w:i/>
          <w:iCs/>
        </w:rPr>
        <w:t xml:space="preserve">Psychological survival: the experience of long-term imprisonment</w:t>
      </w:r>
      <w:r>
        <w:t xml:space="preserve">, Harmondsworth: Penguin.</w:t>
      </w:r>
    </w:p>
    <w:bookmarkEnd w:id="42"/>
    <w:bookmarkStart w:id="44"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43">
        <w:r>
          <w:rPr>
            <w:rStyle w:val="Hyperlink"/>
          </w:rPr>
          <w:t xml:space="preserve">10.1093/acprof:oso/9780199577965.001.0001/</w:t>
        </w:r>
      </w:hyperlink>
    </w:p>
    <w:bookmarkEnd w:id="44"/>
    <w:bookmarkStart w:id="46" w:name="ref-creweDepthWeightTightness2011"/>
    <w:p>
      <w:pPr>
        <w:pStyle w:val="Bibliography"/>
      </w:pPr>
      <w:r>
        <w:t xml:space="preserve">Crewe, B. (2011).</w:t>
      </w:r>
      <w:r>
        <w:t xml:space="preserve"> </w:t>
      </w:r>
      <w:hyperlink r:id="rId45">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8" w:name="ref-creweGenderedPainsLife2017"/>
    <w:p>
      <w:pPr>
        <w:pStyle w:val="Bibliography"/>
      </w:pPr>
      <w:r>
        <w:t xml:space="preserve">Crewe, B., Hulley, S., &amp; Wright, S. (2017).</w:t>
      </w:r>
      <w:r>
        <w:t xml:space="preserve"> </w:t>
      </w:r>
      <w:hyperlink r:id="rId47">
        <w:r>
          <w:rPr>
            <w:rStyle w:val="Hyperlink"/>
          </w:rPr>
          <w:t xml:space="preserve">The Gendered Pains of Life Imprisonment</w:t>
        </w:r>
      </w:hyperlink>
      <w:r>
        <w:t xml:space="preserve">.</w:t>
      </w:r>
      <w:r>
        <w:t xml:space="preserve"> </w:t>
      </w:r>
      <w:r>
        <w:rPr>
          <w:i/>
          <w:iCs/>
        </w:rPr>
        <w:t xml:space="preserve">The British Journal of Criminology</w:t>
      </w:r>
      <w:r>
        <w:t xml:space="preserve">,</w:t>
      </w:r>
      <w:r>
        <w:t xml:space="preserve"> </w:t>
      </w:r>
      <w:r>
        <w:rPr>
          <w:b/>
          <w:bCs/>
        </w:rPr>
        <w:t xml:space="preserve">57</w:t>
      </w:r>
      <w:r>
        <w:t xml:space="preserve">(6), 1359–1378.</w:t>
      </w:r>
    </w:p>
    <w:bookmarkEnd w:id="48"/>
    <w:bookmarkStart w:id="4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49"/>
    <w:bookmarkStart w:id="51" w:name="ref-creweTightnessRecognitionPenal2021"/>
    <w:p>
      <w:pPr>
        <w:pStyle w:val="Bibliography"/>
      </w:pPr>
      <w:r>
        <w:t xml:space="preserve">Crewe, B., &amp; Ievins, A. (2021).</w:t>
      </w:r>
      <w:r>
        <w:t xml:space="preserve"> </w:t>
      </w:r>
      <w:hyperlink r:id="rId50">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1"/>
    <w:bookmarkStart w:id="53" w:name="ref-creweNordicPenalExceptionalism2023"/>
    <w:p>
      <w:pPr>
        <w:pStyle w:val="Bibliography"/>
      </w:pPr>
      <w:r>
        <w:t xml:space="preserve">Crewe, B., Ievins, A., Larmour, S., Laursen, J., Mjåland, K., &amp; Schliehe, A. (2023).</w:t>
      </w:r>
      <w:r>
        <w:t xml:space="preserve"> </w:t>
      </w:r>
      <w:hyperlink r:id="rId52">
        <w:r>
          <w:rPr>
            <w:rStyle w:val="Hyperlink"/>
          </w:rPr>
          <w:t xml:space="preserve">Nordic Penal Exceptionalism: A Comparative, Empirical Analysis</w:t>
        </w:r>
      </w:hyperlink>
      <w:r>
        <w:t xml:space="preserve">.</w:t>
      </w:r>
      <w:r>
        <w:t xml:space="preserve"> </w:t>
      </w:r>
      <w:r>
        <w:rPr>
          <w:i/>
          <w:iCs/>
        </w:rPr>
        <w:t xml:space="preserve">British Journal of Criminology</w:t>
      </w:r>
      <w:r>
        <w:t xml:space="preserve">,</w:t>
      </w:r>
      <w:r>
        <w:t xml:space="preserve"> </w:t>
      </w:r>
      <w:r>
        <w:rPr>
          <w:b/>
          <w:bCs/>
        </w:rPr>
        <w:t xml:space="preserve">63</w:t>
      </w:r>
      <w:r>
        <w:t xml:space="preserve">, 424.</w:t>
      </w:r>
    </w:p>
    <w:bookmarkEnd w:id="53"/>
    <w:bookmarkStart w:id="55" w:name="Xfb4223acfbb1f27e28d8aeb6708b33873291785"/>
    <w:p>
      <w:pPr>
        <w:pStyle w:val="Bibliography"/>
      </w:pPr>
      <w:r>
        <w:t xml:space="preserve">Dagan, N., &amp; Segev, D. (2015).</w:t>
      </w:r>
      <w:r>
        <w:t xml:space="preserve"> </w:t>
      </w:r>
      <w:hyperlink r:id="rId54">
        <w:r>
          <w:rPr>
            <w:rStyle w:val="Hyperlink"/>
          </w:rPr>
          <w:t xml:space="preserve">Retributive whisper: communicative elements in parole</w:t>
        </w:r>
      </w:hyperlink>
      <w:r>
        <w:t xml:space="preserve">.</w:t>
      </w:r>
      <w:r>
        <w:t xml:space="preserve"> </w:t>
      </w:r>
      <w:r>
        <w:rPr>
          <w:i/>
          <w:iCs/>
        </w:rPr>
        <w:t xml:space="preserve">Law &amp; Social Inquiry</w:t>
      </w:r>
      <w:r>
        <w:t xml:space="preserve">,</w:t>
      </w:r>
      <w:r>
        <w:t xml:space="preserve"> </w:t>
      </w:r>
      <w:r>
        <w:rPr>
          <w:b/>
          <w:bCs/>
        </w:rPr>
        <w:t xml:space="preserve">40</w:t>
      </w:r>
      <w:r>
        <w:t xml:space="preserve">(3), 611–630.</w:t>
      </w:r>
    </w:p>
    <w:bookmarkEnd w:id="55"/>
    <w:bookmarkStart w:id="57" w:name="ref-dimarcoHomicideTurningPoint2022"/>
    <w:p>
      <w:pPr>
        <w:pStyle w:val="Bibliography"/>
      </w:pPr>
      <w:r>
        <w:t xml:space="preserve">Di Marco, M. H. (2022).</w:t>
      </w:r>
      <w:r>
        <w:t xml:space="preserve"> </w:t>
      </w:r>
      <w:hyperlink r:id="rId5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57"/>
    <w:bookmarkStart w:id="5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58"/>
    <w:bookmarkStart w:id="5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Basingstoke, Hampshire: Palgrave Macmillan.</w:t>
      </w:r>
    </w:p>
    <w:bookmarkEnd w:id="59"/>
    <w:bookmarkStart w:id="6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60">
        <w:r>
          <w:rPr>
            <w:rStyle w:val="Hyperlink"/>
          </w:rPr>
          <w:t xml:space="preserve">10.1093/oso/9780195104295.001.0001</w:t>
        </w:r>
      </w:hyperlink>
    </w:p>
    <w:bookmarkEnd w:id="61"/>
    <w:bookmarkStart w:id="63" w:name="ref-durkheimTwoLawsPenal1973"/>
    <w:p>
      <w:pPr>
        <w:pStyle w:val="Bibliography"/>
      </w:pPr>
      <w:r>
        <w:t xml:space="preserve">Durkheim, E. (1973).</w:t>
      </w:r>
      <w:r>
        <w:t xml:space="preserve"> </w:t>
      </w:r>
      <w:hyperlink r:id="rId62">
        <w:r>
          <w:rPr>
            <w:rStyle w:val="Hyperlink"/>
          </w:rPr>
          <w:t xml:space="preserve">Two laws of penal evolution</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63"/>
    <w:bookmarkStart w:id="65" w:name="ref-dykeHowParoleBoard2020"/>
    <w:p>
      <w:pPr>
        <w:pStyle w:val="Bibliography"/>
      </w:pPr>
      <w:r>
        <w:t xml:space="preserve">Dyke, C., Schucan Bird, K., &amp; Rivas, C. (2020).</w:t>
      </w:r>
      <w:r>
        <w:t xml:space="preserve"> </w:t>
      </w:r>
      <w:hyperlink r:id="rId6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65"/>
    <w:bookmarkStart w:id="67" w:name="ref-feeleyNewPenologyNotes1992"/>
    <w:p>
      <w:pPr>
        <w:pStyle w:val="Bibliography"/>
      </w:pPr>
      <w:r>
        <w:t xml:space="preserve">Feeley, M. M., &amp; Simon, J. (1992).</w:t>
      </w:r>
      <w:r>
        <w:t xml:space="preserve"> </w:t>
      </w:r>
      <w:hyperlink r:id="rId6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67"/>
    <w:bookmarkStart w:id="69" w:name="Xf7caac3058b6036e15ce3ad95fbe27ac927e0b0"/>
    <w:p>
      <w:pPr>
        <w:pStyle w:val="Bibliography"/>
      </w:pPr>
      <w:r>
        <w:t xml:space="preserve">Fielding, N. G., &amp; Fielding, J. L. (2008).</w:t>
      </w:r>
      <w:r>
        <w:t xml:space="preserve"> </w:t>
      </w:r>
      <w:hyperlink r:id="rId6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69"/>
    <w:bookmarkStart w:id="71" w:name="X4c70a7ba480f72dfb91901b19638543f794bc87"/>
    <w:p>
      <w:pPr>
        <w:pStyle w:val="Bibliography"/>
      </w:pPr>
      <w:r>
        <w:t xml:space="preserve">Flanagan, T. J. (1982).</w:t>
      </w:r>
      <w:r>
        <w:t xml:space="preserve"> </w:t>
      </w:r>
      <w:hyperlink r:id="rId7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71"/>
    <w:bookmarkStart w:id="72" w:name="ref-foucaultDisciplinePunishBirth1995"/>
    <w:p>
      <w:pPr>
        <w:pStyle w:val="Bibliography"/>
      </w:pPr>
      <w:r>
        <w:t xml:space="preserve">Foucault, M. (1995).</w:t>
      </w:r>
      <w:r>
        <w:t xml:space="preserve"> </w:t>
      </w:r>
      <w:r>
        <w:rPr>
          <w:i/>
          <w:iCs/>
        </w:rPr>
        <w:t xml:space="preserve">Discipline and punish: the birth of the prison</w:t>
      </w:r>
      <w:r>
        <w:t xml:space="preserve">. (A. Sheridan, Trans.), Second Vintage books edition, New York: Vintage Books. (Original work published 1977)</w:t>
      </w:r>
    </w:p>
    <w:bookmarkEnd w:id="72"/>
    <w:bookmarkStart w:id="74" w:name="ref-foxChangingViolentMinds1999"/>
    <w:p>
      <w:pPr>
        <w:pStyle w:val="Bibliography"/>
      </w:pPr>
      <w:r>
        <w:t xml:space="preserve">Fox, K. J. (1999).</w:t>
      </w:r>
      <w:r>
        <w:t xml:space="preserve"> </w:t>
      </w:r>
      <w:hyperlink r:id="rId7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74"/>
    <w:bookmarkStart w:id="75"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75"/>
    <w:bookmarkStart w:id="76" w:name="ref-goffmanAsylumsEssaysSocial1961"/>
    <w:p>
      <w:pPr>
        <w:pStyle w:val="Bibliography"/>
      </w:pPr>
      <w:r>
        <w:t xml:space="preserve">Goffman, E. (1961).</w:t>
      </w:r>
      <w:r>
        <w:t xml:space="preserve"> </w:t>
      </w:r>
      <w:r>
        <w:rPr>
          <w:i/>
          <w:iCs/>
        </w:rPr>
        <w:t xml:space="preserve">Asylums: essays on the social situation of mental patients and other inmates</w:t>
      </w:r>
      <w:r>
        <w:t xml:space="preserve">, Garden City, NY: Anchor Books.</w:t>
      </w:r>
    </w:p>
    <w:bookmarkEnd w:id="76"/>
    <w:bookmarkStart w:id="7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77"/>
    <w:bookmarkStart w:id="79" w:name="ref-hulleyMoralWeightMurder2025"/>
    <w:p>
      <w:pPr>
        <w:pStyle w:val="Bibliography"/>
      </w:pPr>
      <w:r>
        <w:t xml:space="preserve">Hulley, S. (2025). The moral weight of murder.</w:t>
      </w:r>
      <w:r>
        <w:t xml:space="preserve"> </w:t>
      </w:r>
      <w:r>
        <w:rPr>
          <w:i/>
          <w:iCs/>
        </w:rPr>
        <w:t xml:space="preserve">The British Journal of Criminology</w:t>
      </w:r>
      <w:r>
        <w:t xml:space="preserve">. doi:</w:t>
      </w:r>
      <w:hyperlink r:id="rId78">
        <w:r>
          <w:rPr>
            <w:rStyle w:val="Hyperlink"/>
          </w:rPr>
          <w:t xml:space="preserve">10.1093/bjc/azaf089</w:t>
        </w:r>
      </w:hyperlink>
    </w:p>
    <w:bookmarkEnd w:id="79"/>
    <w:bookmarkStart w:id="81" w:name="Xefc0d666610422da87ed25de52f1e295f7b90be"/>
    <w:p>
      <w:pPr>
        <w:pStyle w:val="Bibliography"/>
      </w:pPr>
      <w:r>
        <w:t xml:space="preserve">Ievins, A. (2020).</w:t>
      </w:r>
      <w:r>
        <w:t xml:space="preserve"> </w:t>
      </w:r>
      <w:r>
        <w:t xml:space="preserve">‘Perfectly individualized and constantly visible’</w:t>
      </w:r>
      <w:r>
        <w:t xml:space="preserv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80">
        <w:r>
          <w:rPr>
            <w:rStyle w:val="Hyperlink"/>
          </w:rPr>
          <w:t xml:space="preserve">10.1177/2632666320936433</w:t>
        </w:r>
      </w:hyperlink>
    </w:p>
    <w:bookmarkEnd w:id="81"/>
    <w:bookmarkStart w:id="82"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82"/>
    <w:bookmarkStart w:id="84" w:name="ref-ievinsNobodysBetterYou2015"/>
    <w:p>
      <w:pPr>
        <w:pStyle w:val="Bibliography"/>
      </w:pPr>
      <w:r>
        <w:t xml:space="preserve">Ievins, A., &amp; Crewe, B. (2015).</w:t>
      </w:r>
      <w:r>
        <w:t xml:space="preserve"> </w:t>
      </w:r>
      <w:hyperlink r:id="rId83">
        <w:r>
          <w:rPr>
            <w:rStyle w:val="Hyperlink"/>
          </w:rPr>
          <w:t xml:space="preserve">‘Nobody’s better than you, nobody’s worse than you’</w:t>
        </w:r>
        <w:r>
          <w:rPr>
            <w:rStyle w:val="Hyperlink"/>
          </w:rPr>
          <w:t xml:space="preserve">: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84"/>
    <w:bookmarkStart w:id="86" w:name="X85177d50acd38f5f89ed10b0bbd580224017b21"/>
    <w:p>
      <w:pPr>
        <w:pStyle w:val="Bibliography"/>
      </w:pPr>
      <w:r>
        <w:t xml:space="preserve">Ievins, A., &amp; Mjåland, K. (2021).</w:t>
      </w:r>
      <w:r>
        <w:t xml:space="preserve"> </w:t>
      </w:r>
      <w:hyperlink r:id="rId85">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86"/>
    <w:bookmarkStart w:id="87" w:name="ref-irwinPrisonsTurmoil1980"/>
    <w:p>
      <w:pPr>
        <w:pStyle w:val="Bibliography"/>
      </w:pPr>
      <w:r>
        <w:t xml:space="preserve">Irwin, J. (1980).</w:t>
      </w:r>
      <w:r>
        <w:t xml:space="preserve"> </w:t>
      </w:r>
      <w:r>
        <w:rPr>
          <w:i/>
          <w:iCs/>
        </w:rPr>
        <w:t xml:space="preserve">Prisons in turmoil</w:t>
      </w:r>
      <w:r>
        <w:t xml:space="preserve">, Boston: Little, Brown.</w:t>
      </w:r>
    </w:p>
    <w:bookmarkEnd w:id="87"/>
    <w:bookmarkStart w:id="8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88"/>
    <w:bookmarkStart w:id="90" w:name="ref-irwinThievesConvictsInmate1962"/>
    <w:p>
      <w:pPr>
        <w:pStyle w:val="Bibliography"/>
      </w:pPr>
      <w:r>
        <w:t xml:space="preserve">Irwin, J., &amp; Cressey, D. R. (1962).</w:t>
      </w:r>
      <w:r>
        <w:t xml:space="preserve"> </w:t>
      </w:r>
      <w:hyperlink r:id="rId89">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90"/>
    <w:bookmarkStart w:id="91"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91"/>
    <w:bookmarkStart w:id="93" w:name="ref-jarmanOnlyOneWay2020"/>
    <w:p>
      <w:pPr>
        <w:pStyle w:val="Bibliography"/>
      </w:pPr>
      <w:r>
        <w:t xml:space="preserve">Jarman, B. (2020).</w:t>
      </w:r>
      <w:r>
        <w:t xml:space="preserve"> </w:t>
      </w:r>
      <w:hyperlink r:id="rId92">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93"/>
    <w:bookmarkStart w:id="95" w:name="ref-jarmanMoralMessagesEthical2024"/>
    <w:p>
      <w:pPr>
        <w:pStyle w:val="Bibliography"/>
      </w:pPr>
      <w:r>
        <w:t xml:space="preserve">Jarman, B. (2024, June 6).</w:t>
      </w:r>
      <w:r>
        <w:t xml:space="preserve"> </w:t>
      </w:r>
      <w:hyperlink r:id="rId94">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95"/>
    <w:bookmarkStart w:id="97"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96">
        <w:r>
          <w:rPr>
            <w:rStyle w:val="Hyperlink"/>
          </w:rPr>
          <w:t xml:space="preserve">10.1177/26326663221074263</w:t>
        </w:r>
      </w:hyperlink>
    </w:p>
    <w:bookmarkEnd w:id="97"/>
    <w:bookmarkStart w:id="99" w:name="ref-lacombeConsumedSexTreatment2008"/>
    <w:p>
      <w:pPr>
        <w:pStyle w:val="Bibliography"/>
      </w:pPr>
      <w:r>
        <w:t xml:space="preserve">Lacombe, D. (2008).</w:t>
      </w:r>
      <w:r>
        <w:t xml:space="preserve"> </w:t>
      </w:r>
      <w:hyperlink r:id="rId98">
        <w:r>
          <w:rPr>
            <w:rStyle w:val="Hyperlink"/>
          </w:rPr>
          <w:t xml:space="preserve">Consumed with sex: the treatment of sex offenders In risk society</w:t>
        </w:r>
      </w:hyperlink>
      <w:r>
        <w:t xml:space="preserve">.</w:t>
      </w:r>
      <w:r>
        <w:t xml:space="preserve"> </w:t>
      </w:r>
      <w:r>
        <w:rPr>
          <w:i/>
          <w:iCs/>
        </w:rPr>
        <w:t xml:space="preserve">The British Journal of Criminology</w:t>
      </w:r>
      <w:r>
        <w:t xml:space="preserve">,</w:t>
      </w:r>
      <w:r>
        <w:t xml:space="preserve"> </w:t>
      </w:r>
      <w:r>
        <w:rPr>
          <w:b/>
          <w:bCs/>
        </w:rPr>
        <w:t xml:space="preserve">48</w:t>
      </w:r>
      <w:r>
        <w:t xml:space="preserve">(1), 55–74.</w:t>
      </w:r>
    </w:p>
    <w:bookmarkEnd w:id="99"/>
    <w:bookmarkStart w:id="101"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100">
        <w:r>
          <w:rPr>
            <w:rStyle w:val="Hyperlink"/>
          </w:rPr>
          <w:t xml:space="preserve">10.1177/26326663251320862</w:t>
        </w:r>
      </w:hyperlink>
    </w:p>
    <w:bookmarkEnd w:id="101"/>
    <w:bookmarkStart w:id="103"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102">
        <w:r>
          <w:rPr>
            <w:rStyle w:val="Hyperlink"/>
          </w:rPr>
          <w:t xml:space="preserve">10.1007/978-3-030-96083-4</w:t>
        </w:r>
      </w:hyperlink>
    </w:p>
    <w:bookmarkEnd w:id="103"/>
    <w:bookmarkStart w:id="105"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104">
        <w:r>
          <w:rPr>
            <w:rStyle w:val="Hyperlink"/>
          </w:rPr>
          <w:t xml:space="preserve">10.1177/26326663251320813</w:t>
        </w:r>
      </w:hyperlink>
    </w:p>
    <w:bookmarkEnd w:id="105"/>
    <w:bookmarkStart w:id="106" w:name="ref-lieblingPrisonsTheirMoral2005"/>
    <w:p>
      <w:pPr>
        <w:pStyle w:val="Bibliography"/>
      </w:pPr>
      <w:r>
        <w:t xml:space="preserve">Liebling, A., &amp; Arnold, H. (2005).</w:t>
      </w:r>
      <w:r>
        <w:t xml:space="preserve"> </w:t>
      </w:r>
      <w:r>
        <w:rPr>
          <w:i/>
          <w:iCs/>
        </w:rPr>
        <w:t xml:space="preserve">Prisons and their moral performance: a study of values, quality, and prison life</w:t>
      </w:r>
      <w:r>
        <w:t xml:space="preserve">, Oxford University Press.</w:t>
      </w:r>
    </w:p>
    <w:bookmarkEnd w:id="106"/>
    <w:bookmarkStart w:id="107"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107"/>
    <w:bookmarkStart w:id="109" w:name="ref-marunaWhatHaveWe2005"/>
    <w:p>
      <w:pPr>
        <w:pStyle w:val="Bibliography"/>
      </w:pPr>
      <w:r>
        <w:t xml:space="preserve">Maruna, S., &amp; Copes, H. (2005).</w:t>
      </w:r>
      <w:r>
        <w:t xml:space="preserve"> </w:t>
      </w:r>
      <w:hyperlink r:id="rId108">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9"/>
    <w:bookmarkStart w:id="110"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10"/>
    <w:bookmarkStart w:id="112" w:name="ref-mcdermottMindGamesWhere1988"/>
    <w:p>
      <w:pPr>
        <w:pStyle w:val="Bibliography"/>
      </w:pPr>
      <w:r>
        <w:t xml:space="preserve">McDermott, K., &amp; King, R. D. (1988).</w:t>
      </w:r>
      <w:r>
        <w:t xml:space="preserve"> </w:t>
      </w:r>
      <w:hyperlink r:id="rId111">
        <w:r>
          <w:rPr>
            <w:rStyle w:val="Hyperlink"/>
          </w:rPr>
          <w:t xml:space="preserve">Mind Games: Where the action is in prison</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357–377.</w:t>
      </w:r>
    </w:p>
    <w:bookmarkEnd w:id="112"/>
    <w:bookmarkStart w:id="114" w:name="ref-mcneillFourFormsOffender2012"/>
    <w:p>
      <w:pPr>
        <w:pStyle w:val="Bibliography"/>
      </w:pPr>
      <w:r>
        <w:t xml:space="preserve">McNeill, F. (2012).</w:t>
      </w:r>
      <w:r>
        <w:t xml:space="preserve"> </w:t>
      </w:r>
      <w:hyperlink r:id="rId113">
        <w:r>
          <w:rPr>
            <w:rStyle w:val="Hyperlink"/>
          </w:rPr>
          <w:t xml:space="preserve">Four forms of</w:t>
        </w:r>
        <w:r>
          <w:rPr>
            <w:rStyle w:val="Hyperlink"/>
          </w:rPr>
          <w:t xml:space="preserve"> </w:t>
        </w:r>
        <w:r>
          <w:rPr>
            <w:rStyle w:val="Hyperlink"/>
          </w:rPr>
          <w:t xml:space="preserve">‘offender’</w:t>
        </w:r>
        <w:r>
          <w:rPr>
            <w:rStyle w:val="Hyperlink"/>
          </w:rPr>
          <w:t xml:space="preserve"> </w:t>
        </w:r>
        <w:r>
          <w:rPr>
            <w:rStyle w:val="Hyperlink"/>
          </w:rPr>
          <w:t xml:space="preserve">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14"/>
    <w:bookmarkStart w:id="115"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15"/>
    <w:bookmarkStart w:id="117" w:name="ref-odonnellAimsImprisonment2016"/>
    <w:p>
      <w:pPr>
        <w:pStyle w:val="Bibliography"/>
      </w:pPr>
      <w:r>
        <w:t xml:space="preserve">O’Donnell, I. (2016).</w:t>
      </w:r>
      <w:r>
        <w:t xml:space="preserve"> </w:t>
      </w:r>
      <w:hyperlink r:id="rId116">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17"/>
    <w:bookmarkStart w:id="119" w:name="ref-paratoreInsightLifeCrimes2016"/>
    <w:p>
      <w:pPr>
        <w:pStyle w:val="Bibliography"/>
      </w:pPr>
      <w:r>
        <w:t xml:space="preserve">Paratore, L. (2016).</w:t>
      </w:r>
      <w:r>
        <w:t xml:space="preserve"> </w:t>
      </w:r>
      <w:hyperlink r:id="rId118">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9"/>
    <w:bookmarkStart w:id="12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20">
        <w:r>
          <w:rPr>
            <w:rStyle w:val="Hyperlink"/>
          </w:rPr>
          <w:t xml:space="preserve">https://www.sentencingacademy.org.uk/wp-content/uploads/2025/04/Measuring-Sentence-Inflation-in-England-and-Wales.pdf</w:t>
        </w:r>
      </w:hyperlink>
    </w:p>
    <w:bookmarkEnd w:id="121"/>
    <w:bookmarkStart w:id="122"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22"/>
    <w:bookmarkStart w:id="123" w:name="X376f4432f0a458a8ef978d63ff7e061be0d74ef"/>
    <w:p>
      <w:pPr>
        <w:pStyle w:val="Bibliography"/>
      </w:pPr>
      <w:r>
        <w:t xml:space="preserve">Schinkel, M. (2014).</w:t>
      </w:r>
      <w:r>
        <w:t xml:space="preserve"> </w:t>
      </w:r>
      <w:r>
        <w:rPr>
          <w:i/>
          <w:iCs/>
        </w:rPr>
        <w:t xml:space="preserve">Being imprisoned: punishment, adaptation and desistance</w:t>
      </w:r>
      <w:r>
        <w:t xml:space="preserve">, Palgrave Macmillan.</w:t>
      </w:r>
    </w:p>
    <w:bookmarkEnd w:id="123"/>
    <w:bookmarkStart w:id="125"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24">
        <w:r>
          <w:rPr>
            <w:rStyle w:val="Hyperlink"/>
          </w:rPr>
          <w:t xml:space="preserve">10.1177/2632666321989018</w:t>
        </w:r>
      </w:hyperlink>
    </w:p>
    <w:bookmarkEnd w:id="125"/>
    <w:bookmarkStart w:id="127" w:name="ref-schragLeadershipPrisonInmates1954"/>
    <w:p>
      <w:pPr>
        <w:pStyle w:val="Bibliography"/>
      </w:pPr>
      <w:r>
        <w:t xml:space="preserve">Schrag, C. (1954).</w:t>
      </w:r>
      <w:r>
        <w:t xml:space="preserve"> </w:t>
      </w:r>
      <w:hyperlink r:id="rId126">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37–42.</w:t>
      </w:r>
    </w:p>
    <w:bookmarkEnd w:id="127"/>
    <w:bookmarkStart w:id="129" w:name="ref-seedsHopeLifeSentence2022"/>
    <w:p>
      <w:pPr>
        <w:pStyle w:val="Bibliography"/>
      </w:pPr>
      <w:r>
        <w:t xml:space="preserve">Seeds, C. (2022).</w:t>
      </w:r>
      <w:r>
        <w:t xml:space="preserve"> </w:t>
      </w:r>
      <w:hyperlink r:id="rId128">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9"/>
    <w:bookmarkStart w:id="131" w:name="ref-shammasPerilsParoleHearings2019"/>
    <w:p>
      <w:pPr>
        <w:pStyle w:val="Bibliography"/>
      </w:pPr>
      <w:r>
        <w:t xml:space="preserve">Shammas, V. L. (2019).</w:t>
      </w:r>
      <w:r>
        <w:t xml:space="preserve"> </w:t>
      </w:r>
      <w:hyperlink r:id="rId130">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31"/>
    <w:bookmarkStart w:id="132" w:name="ref-skarbekPuzzlePrisonOrder2020"/>
    <w:p>
      <w:pPr>
        <w:pStyle w:val="Bibliography"/>
      </w:pPr>
      <w:r>
        <w:t xml:space="preserve">Skarbek, D. (2020).</w:t>
      </w:r>
      <w:r>
        <w:t xml:space="preserve"> </w:t>
      </w:r>
      <w:r>
        <w:rPr>
          <w:i/>
          <w:iCs/>
        </w:rPr>
        <w:t xml:space="preserve">The Puzzle of Prison Order: Why Life Behind Bars Varies Around the World</w:t>
      </w:r>
      <w:r>
        <w:t xml:space="preserve">, Oxford, New York: Oxford University Press.</w:t>
      </w:r>
    </w:p>
    <w:bookmarkEnd w:id="132"/>
    <w:bookmarkStart w:id="134" w:name="ref-sparksCanPrisonsBe1994"/>
    <w:p>
      <w:pPr>
        <w:pStyle w:val="Bibliography"/>
      </w:pPr>
      <w:r>
        <w:t xml:space="preserve">Sparks, R. (1994).</w:t>
      </w:r>
      <w:r>
        <w:t xml:space="preserve"> </w:t>
      </w:r>
      <w:hyperlink r:id="rId133">
        <w:r>
          <w:rPr>
            <w:rStyle w:val="Hyperlink"/>
          </w:rPr>
          <w:t xml:space="preserve">Can Prisons Be Legitimate? Penal Politics, Privatization, and the Timeliness of an Old Idea</w:t>
        </w:r>
      </w:hyperlink>
      <w:r>
        <w:t xml:space="preserve">.</w:t>
      </w:r>
      <w:r>
        <w:t xml:space="preserve"> </w:t>
      </w:r>
      <w:r>
        <w:rPr>
          <w:i/>
          <w:iCs/>
        </w:rPr>
        <w:t xml:space="preserve">The British Journal of Criminology</w:t>
      </w:r>
      <w:r>
        <w:t xml:space="preserve">,</w:t>
      </w:r>
      <w:r>
        <w:t xml:space="preserve"> </w:t>
      </w:r>
      <w:r>
        <w:rPr>
          <w:b/>
          <w:bCs/>
        </w:rPr>
        <w:t xml:space="preserve">34</w:t>
      </w:r>
      <w:r>
        <w:t xml:space="preserve">(S1), 14–28.</w:t>
      </w:r>
    </w:p>
    <w:bookmarkEnd w:id="134"/>
    <w:bookmarkStart w:id="136" w:name="ref-sparksPrisonsProblemOrder1996"/>
    <w:p>
      <w:pPr>
        <w:pStyle w:val="Bibliography"/>
      </w:pPr>
      <w:r>
        <w:t xml:space="preserve">Sparks, R., Bottoms, A. E., &amp; Hay, W. (1996).</w:t>
      </w:r>
      <w:r>
        <w:t xml:space="preserve"> </w:t>
      </w:r>
      <w:r>
        <w:rPr>
          <w:i/>
          <w:iCs/>
        </w:rPr>
        <w:t xml:space="preserve">Prisons and the problem of order</w:t>
      </w:r>
      <w:r>
        <w:t xml:space="preserve">, Oxford: Oxford University Press. doi:</w:t>
      </w:r>
      <w:hyperlink r:id="rId135">
        <w:r>
          <w:rPr>
            <w:rStyle w:val="Hyperlink"/>
          </w:rPr>
          <w:t xml:space="preserve">10.1093/acprof:oso/9780198258186.001.0001</w:t>
        </w:r>
      </w:hyperlink>
    </w:p>
    <w:bookmarkEnd w:id="136"/>
    <w:bookmarkStart w:id="138"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137">
        <w:r>
          <w:rPr>
            <w:rStyle w:val="Hyperlink"/>
          </w:rPr>
          <w:t xml:space="preserve">10.4324/9780203101124</w:t>
        </w:r>
      </w:hyperlink>
    </w:p>
    <w:bookmarkEnd w:id="138"/>
    <w:bookmarkStart w:id="139"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9"/>
    <w:bookmarkStart w:id="141" w:name="X49f9d481cf94d0893662ed622409211b7aecca0"/>
    <w:p>
      <w:pPr>
        <w:pStyle w:val="Bibliography"/>
      </w:pPr>
      <w:r>
        <w:t xml:space="preserve">Sykes, G. M., &amp; Matza, D. (1957).</w:t>
      </w:r>
      <w:r>
        <w:t xml:space="preserve"> </w:t>
      </w:r>
      <w:hyperlink r:id="rId140">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41"/>
    <w:bookmarkStart w:id="143" w:name="ref-tasioulasRepentanceLiberalState2007"/>
    <w:p>
      <w:pPr>
        <w:pStyle w:val="Bibliography"/>
      </w:pPr>
      <w:r>
        <w:t xml:space="preserve">Tasioulas, J. (2007).</w:t>
      </w:r>
      <w:r>
        <w:t xml:space="preserve"> </w:t>
      </w:r>
      <w:hyperlink r:id="rId142">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43"/>
    <w:bookmarkStart w:id="144" w:name="ref-tynanYoungMensExperiences2019"/>
    <w:p>
      <w:pPr>
        <w:pStyle w:val="Bibliography"/>
      </w:pPr>
      <w:r>
        <w:t xml:space="preserve">Tynan, R. R. (2019).</w:t>
      </w:r>
      <w:r>
        <w:t xml:space="preserve"> </w:t>
      </w:r>
      <w:r>
        <w:rPr>
          <w:i/>
          <w:iCs/>
        </w:rPr>
        <w:t xml:space="preserve">Young Men’s Experiences of Long-Term Imprisonment: Living Life</w:t>
      </w:r>
      <w:r>
        <w:t xml:space="preserve">, Abingdon: Routledge.</w:t>
      </w:r>
    </w:p>
    <w:bookmarkEnd w:id="144"/>
    <w:bookmarkStart w:id="146" w:name="ref-ugelvikPrisonersTheirVictims2012"/>
    <w:p>
      <w:pPr>
        <w:pStyle w:val="Bibliography"/>
      </w:pPr>
      <w:r>
        <w:t xml:space="preserve">Ugelvik, T. (2012).</w:t>
      </w:r>
      <w:r>
        <w:t xml:space="preserve"> </w:t>
      </w:r>
      <w:hyperlink r:id="rId145">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46"/>
    <w:bookmarkStart w:id="148" w:name="ref-ugelvikRapistProperCriminal2015"/>
    <w:p>
      <w:pPr>
        <w:pStyle w:val="Bibliography"/>
      </w:pPr>
      <w:r>
        <w:t xml:space="preserve">Ugelvik, T. (2015).</w:t>
      </w:r>
      <w:r>
        <w:t xml:space="preserve"> </w:t>
      </w:r>
      <w:hyperlink r:id="rId147">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NY: New York University Press, pp. 23–41.</w:t>
      </w:r>
    </w:p>
    <w:bookmarkEnd w:id="148"/>
    <w:bookmarkStart w:id="150" w:name="ref-vonhirschPunishmentPenanceState2005"/>
    <w:p>
      <w:pPr>
        <w:pStyle w:val="Bibliography"/>
      </w:pPr>
      <w:r>
        <w:t xml:space="preserve">Von Hirsch, A. (2005).</w:t>
      </w:r>
      <w:r>
        <w:t xml:space="preserve"> </w:t>
      </w:r>
      <w:hyperlink r:id="rId149">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50"/>
    <w:bookmarkStart w:id="152" w:name="ref-waldramEverybodyHasStory2007"/>
    <w:p>
      <w:pPr>
        <w:pStyle w:val="Bibliography"/>
      </w:pPr>
      <w:r>
        <w:t xml:space="preserve">Waldram, J. B. (2007).</w:t>
      </w:r>
      <w:r>
        <w:t xml:space="preserve"> </w:t>
      </w:r>
      <w:hyperlink r:id="rId151">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52"/>
    <w:bookmarkEnd w:id="153"/>
    <w:bookmarkEnd w:id="15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There is, of course, a tradition of researchers interviewing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23">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25">
    <w:p>
      <w:pPr>
        <w:pStyle w:val="FootnoteText"/>
      </w:pPr>
      <w:r>
        <w:rPr>
          <w:rStyle w:val="FootnoteReference"/>
        </w:rPr>
        <w:footnoteRef/>
      </w:r>
      <w:r>
        <w:t xml:space="preserve"> </w:t>
      </w:r>
      <w:r>
        <w:t xml:space="preserve">Each case study touches on different elements of this framework i.e. our aim is not to illustrate the same points in three different ways.</w:t>
      </w:r>
    </w:p>
  </w:footnote>
  <w:footnote w:id="26">
    <w:p>
      <w:pPr>
        <w:pStyle w:val="FootnoteText"/>
      </w:pPr>
      <w:r>
        <w:rPr>
          <w:rStyle w:val="FootnoteReference"/>
        </w:rPr>
        <w:footnoteRef/>
      </w:r>
      <w:r>
        <w:t xml:space="preserve"> </w:t>
      </w:r>
      <w:r>
        <w:t xml:space="preserve">All names are pseudonyms, and we have changed any potentially identifying features.</w:t>
      </w:r>
    </w:p>
  </w:footnote>
  <w:footnote w:id="31">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32">
    <w:p>
      <w:pPr>
        <w:pStyle w:val="FootnoteText"/>
      </w:pPr>
      <w:r>
        <w:rPr>
          <w:rStyle w:val="FootnoteReference"/>
        </w:rPr>
        <w:footnoteRef/>
      </w:r>
      <w:r>
        <w:t xml:space="preserve"> </w:t>
      </w:r>
      <w:r>
        <w:t xml:space="preserve">1,100 refers to the population of the prison where Mick was held.</w:t>
      </w:r>
    </w:p>
  </w:footnote>
  <w:footnote w:id="34">
    <w:p>
      <w:pPr>
        <w:pStyle w:val="FootnoteText"/>
      </w:pPr>
      <w:r>
        <w:rPr>
          <w:rStyle w:val="FootnoteReference"/>
        </w:rPr>
        <w:footnoteRef/>
      </w:r>
      <w:r>
        <w:t xml:space="preserve"> </w:t>
      </w:r>
      <w:r>
        <w:t xml:space="preserve">We thank an anonymous reviewer for prompting us to clarify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2" Target="http://hdl.handle.net/1811/73044" TargetMode="External" /><Relationship Type="http://schemas.openxmlformats.org/officeDocument/2006/relationships/hyperlink" Id="rId64" Target="https://doi.org/10.1002/cbm.2183" TargetMode="External" /><Relationship Type="http://schemas.openxmlformats.org/officeDocument/2006/relationships/hyperlink" Id="rId102" Target="https://doi.org/10.1007/978-3-030-96083-4" TargetMode="External" /><Relationship Type="http://schemas.openxmlformats.org/officeDocument/2006/relationships/hyperlink" Id="rId62" Target="https://doi.org/10.1080/03085147300000014" TargetMode="External" /><Relationship Type="http://schemas.openxmlformats.org/officeDocument/2006/relationships/hyperlink" Id="rId108" Target="https://doi.org/10.1086/655355" TargetMode="External" /><Relationship Type="http://schemas.openxmlformats.org/officeDocument/2006/relationships/hyperlink" Id="rId135" Target="https://doi.org/10.1093/acprof:oso/9780198258186.001.0001" TargetMode="External" /><Relationship Type="http://schemas.openxmlformats.org/officeDocument/2006/relationships/hyperlink" Id="rId43" Target="https://doi.org/10.1093/acprof:oso/9780199577965.001.0001/" TargetMode="External" /><Relationship Type="http://schemas.openxmlformats.org/officeDocument/2006/relationships/hyperlink" Id="rId92" Target="https://doi.org/10.1093/bjc/azaa036" TargetMode="External" /><Relationship Type="http://schemas.openxmlformats.org/officeDocument/2006/relationships/hyperlink" Id="rId128" Target="https://doi.org/10.1093/bjc/azab037" TargetMode="External" /><Relationship Type="http://schemas.openxmlformats.org/officeDocument/2006/relationships/hyperlink" Id="rId52" Target="https://doi.org/10.1093/bjc/azac013" TargetMode="External" /><Relationship Type="http://schemas.openxmlformats.org/officeDocument/2006/relationships/hyperlink" Id="rId78" Target="https://doi.org/10.1093/bjc/azaf089" TargetMode="External" /><Relationship Type="http://schemas.openxmlformats.org/officeDocument/2006/relationships/hyperlink" Id="rId98" Target="https://doi.org/10.1093/bjc/azm051" TargetMode="External" /><Relationship Type="http://schemas.openxmlformats.org/officeDocument/2006/relationships/hyperlink" Id="rId47" Target="https://doi.org/10.1093/bjc/azw088" TargetMode="External" /><Relationship Type="http://schemas.openxmlformats.org/officeDocument/2006/relationships/hyperlink" Id="rId60" Target="https://doi.org/10.1093/oso/9780195104295.001.0001" TargetMode="External" /><Relationship Type="http://schemas.openxmlformats.org/officeDocument/2006/relationships/hyperlink" Id="rId133" Target="https://doi.org/10.1093/oxfordjournals.bjc.34.s1.14" TargetMode="External" /><Relationship Type="http://schemas.openxmlformats.org/officeDocument/2006/relationships/hyperlink" Id="rId111" Target="https://doi.org/10.1093/oxfordjournals.bjc.a047734" TargetMode="External" /><Relationship Type="http://schemas.openxmlformats.org/officeDocument/2006/relationships/hyperlink" Id="rId85"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6" Target="https://doi.org/10.1111/j.1745-9125.1992.tb01112.x" TargetMode="External" /><Relationship Type="http://schemas.openxmlformats.org/officeDocument/2006/relationships/hyperlink" Id="rId113" Target="https://doi.org/10.1111/j.2044-8333.2011.02039.x" TargetMode="External" /><Relationship Type="http://schemas.openxmlformats.org/officeDocument/2006/relationships/hyperlink" Id="rId54" Target="https://doi.org/10.1111/lsi.12090" TargetMode="External" /><Relationship Type="http://schemas.openxmlformats.org/officeDocument/2006/relationships/hyperlink" Id="rId130" Target="https://doi.org/10.1111/plar.12275" TargetMode="External" /><Relationship Type="http://schemas.openxmlformats.org/officeDocument/2006/relationships/hyperlink" Id="rId70" Target="https://doi.org/10.1177/001112878202800106" TargetMode="External" /><Relationship Type="http://schemas.openxmlformats.org/officeDocument/2006/relationships/hyperlink" Id="rId151" Target="https://doi.org/10.1177/1049732307306014" TargetMode="External" /><Relationship Type="http://schemas.openxmlformats.org/officeDocument/2006/relationships/hyperlink" Id="rId45" Target="https://doi.org/10.1177/1462474511422172" TargetMode="External" /><Relationship Type="http://schemas.openxmlformats.org/officeDocument/2006/relationships/hyperlink" Id="rId83" Target="https://doi.org/10.1177/1462474515603803" TargetMode="External" /><Relationship Type="http://schemas.openxmlformats.org/officeDocument/2006/relationships/hyperlink" Id="rId50" Target="https://doi.org/10.1177/1462474520928115" TargetMode="External" /><Relationship Type="http://schemas.openxmlformats.org/officeDocument/2006/relationships/hyperlink" Id="rId145" Target="https://doi.org/10.1177/1466138111435447" TargetMode="External" /><Relationship Type="http://schemas.openxmlformats.org/officeDocument/2006/relationships/hyperlink" Id="rId80" Target="https://doi.org/10.1177/2632666320936433" TargetMode="External" /><Relationship Type="http://schemas.openxmlformats.org/officeDocument/2006/relationships/hyperlink" Id="rId124" Target="https://doi.org/10.1177/2632666321989018" TargetMode="External" /><Relationship Type="http://schemas.openxmlformats.org/officeDocument/2006/relationships/hyperlink" Id="rId96" Target="https://doi.org/10.1177/26326663221074263" TargetMode="External" /><Relationship Type="http://schemas.openxmlformats.org/officeDocument/2006/relationships/hyperlink" Id="rId104" Target="https://doi.org/10.1177/26326663251320813" TargetMode="External" /><Relationship Type="http://schemas.openxmlformats.org/officeDocument/2006/relationships/hyperlink" Id="rId100" Target="https://doi.org/10.1177/26326663251320862" TargetMode="External" /><Relationship Type="http://schemas.openxmlformats.org/officeDocument/2006/relationships/hyperlink" Id="rId94" Target="https://doi.org/10.17863/CAM.109063" TargetMode="External" /><Relationship Type="http://schemas.openxmlformats.org/officeDocument/2006/relationships/hyperlink" Id="rId147" Target="https://doi.org/10.18574/nyu/9781479876778.003.0002" TargetMode="External" /><Relationship Type="http://schemas.openxmlformats.org/officeDocument/2006/relationships/hyperlink" Id="rId56" Target="https://doi.org/10.18778/1733-8077.18.4.06" TargetMode="External" /><Relationship Type="http://schemas.openxmlformats.org/officeDocument/2006/relationships/hyperlink" Id="rId126" Target="https://doi.org/10.2307/2088170" TargetMode="External" /><Relationship Type="http://schemas.openxmlformats.org/officeDocument/2006/relationships/hyperlink" Id="rId140" Target="https://doi.org/10.2307/2089195" TargetMode="External" /><Relationship Type="http://schemas.openxmlformats.org/officeDocument/2006/relationships/hyperlink" Id="rId73" Target="https://doi.org/10.2307/3097163" TargetMode="External" /><Relationship Type="http://schemas.openxmlformats.org/officeDocument/2006/relationships/hyperlink" Id="rId89" Target="https://doi.org/10.2307/799047" TargetMode="External" /><Relationship Type="http://schemas.openxmlformats.org/officeDocument/2006/relationships/hyperlink" Id="rId137" Target="https://doi.org/10.4324/9780203101124" TargetMode="External" /><Relationship Type="http://schemas.openxmlformats.org/officeDocument/2006/relationships/hyperlink" Id="rId149" Target="https://doi.org/10.4324/9780203986820-32" TargetMode="External" /><Relationship Type="http://schemas.openxmlformats.org/officeDocument/2006/relationships/hyperlink" Id="rId116" Target="https://doi.org/10.4324/9781315797779" TargetMode="External" /><Relationship Type="http://schemas.openxmlformats.org/officeDocument/2006/relationships/hyperlink" Id="rId118" Target="https://heinonline.org/HOL/P?h=hein.journals/bjcl21&amp;i=95" TargetMode="External" /><Relationship Type="http://schemas.openxmlformats.org/officeDocument/2006/relationships/hyperlink" Id="rId68" Target="https://www.jstor.org/stable/20762302" TargetMode="External" /><Relationship Type="http://schemas.openxmlformats.org/officeDocument/2006/relationships/hyperlink" Id="rId120"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42" Target="http://hdl.handle.net/1811/73044" TargetMode="External" /><Relationship Type="http://schemas.openxmlformats.org/officeDocument/2006/relationships/hyperlink" Id="rId64" Target="https://doi.org/10.1002/cbm.2183" TargetMode="External" /><Relationship Type="http://schemas.openxmlformats.org/officeDocument/2006/relationships/hyperlink" Id="rId102" Target="https://doi.org/10.1007/978-3-030-96083-4" TargetMode="External" /><Relationship Type="http://schemas.openxmlformats.org/officeDocument/2006/relationships/hyperlink" Id="rId62" Target="https://doi.org/10.1080/03085147300000014" TargetMode="External" /><Relationship Type="http://schemas.openxmlformats.org/officeDocument/2006/relationships/hyperlink" Id="rId108" Target="https://doi.org/10.1086/655355" TargetMode="External" /><Relationship Type="http://schemas.openxmlformats.org/officeDocument/2006/relationships/hyperlink" Id="rId135" Target="https://doi.org/10.1093/acprof:oso/9780198258186.001.0001" TargetMode="External" /><Relationship Type="http://schemas.openxmlformats.org/officeDocument/2006/relationships/hyperlink" Id="rId43" Target="https://doi.org/10.1093/acprof:oso/9780199577965.001.0001/" TargetMode="External" /><Relationship Type="http://schemas.openxmlformats.org/officeDocument/2006/relationships/hyperlink" Id="rId92" Target="https://doi.org/10.1093/bjc/azaa036" TargetMode="External" /><Relationship Type="http://schemas.openxmlformats.org/officeDocument/2006/relationships/hyperlink" Id="rId128" Target="https://doi.org/10.1093/bjc/azab037" TargetMode="External" /><Relationship Type="http://schemas.openxmlformats.org/officeDocument/2006/relationships/hyperlink" Id="rId52" Target="https://doi.org/10.1093/bjc/azac013" TargetMode="External" /><Relationship Type="http://schemas.openxmlformats.org/officeDocument/2006/relationships/hyperlink" Id="rId78" Target="https://doi.org/10.1093/bjc/azaf089" TargetMode="External" /><Relationship Type="http://schemas.openxmlformats.org/officeDocument/2006/relationships/hyperlink" Id="rId98" Target="https://doi.org/10.1093/bjc/azm051" TargetMode="External" /><Relationship Type="http://schemas.openxmlformats.org/officeDocument/2006/relationships/hyperlink" Id="rId47" Target="https://doi.org/10.1093/bjc/azw088" TargetMode="External" /><Relationship Type="http://schemas.openxmlformats.org/officeDocument/2006/relationships/hyperlink" Id="rId60" Target="https://doi.org/10.1093/oso/9780195104295.001.0001" TargetMode="External" /><Relationship Type="http://schemas.openxmlformats.org/officeDocument/2006/relationships/hyperlink" Id="rId133" Target="https://doi.org/10.1093/oxfordjournals.bjc.34.s1.14" TargetMode="External" /><Relationship Type="http://schemas.openxmlformats.org/officeDocument/2006/relationships/hyperlink" Id="rId111" Target="https://doi.org/10.1093/oxfordjournals.bjc.a047734" TargetMode="External" /><Relationship Type="http://schemas.openxmlformats.org/officeDocument/2006/relationships/hyperlink" Id="rId85"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6" Target="https://doi.org/10.1111/j.1745-9125.1992.tb01112.x" TargetMode="External" /><Relationship Type="http://schemas.openxmlformats.org/officeDocument/2006/relationships/hyperlink" Id="rId113" Target="https://doi.org/10.1111/j.2044-8333.2011.02039.x" TargetMode="External" /><Relationship Type="http://schemas.openxmlformats.org/officeDocument/2006/relationships/hyperlink" Id="rId54" Target="https://doi.org/10.1111/lsi.12090" TargetMode="External" /><Relationship Type="http://schemas.openxmlformats.org/officeDocument/2006/relationships/hyperlink" Id="rId130" Target="https://doi.org/10.1111/plar.12275" TargetMode="External" /><Relationship Type="http://schemas.openxmlformats.org/officeDocument/2006/relationships/hyperlink" Id="rId70" Target="https://doi.org/10.1177/001112878202800106" TargetMode="External" /><Relationship Type="http://schemas.openxmlformats.org/officeDocument/2006/relationships/hyperlink" Id="rId151" Target="https://doi.org/10.1177/1049732307306014" TargetMode="External" /><Relationship Type="http://schemas.openxmlformats.org/officeDocument/2006/relationships/hyperlink" Id="rId45" Target="https://doi.org/10.1177/1462474511422172" TargetMode="External" /><Relationship Type="http://schemas.openxmlformats.org/officeDocument/2006/relationships/hyperlink" Id="rId83" Target="https://doi.org/10.1177/1462474515603803" TargetMode="External" /><Relationship Type="http://schemas.openxmlformats.org/officeDocument/2006/relationships/hyperlink" Id="rId50" Target="https://doi.org/10.1177/1462474520928115" TargetMode="External" /><Relationship Type="http://schemas.openxmlformats.org/officeDocument/2006/relationships/hyperlink" Id="rId145" Target="https://doi.org/10.1177/1466138111435447" TargetMode="External" /><Relationship Type="http://schemas.openxmlformats.org/officeDocument/2006/relationships/hyperlink" Id="rId80" Target="https://doi.org/10.1177/2632666320936433" TargetMode="External" /><Relationship Type="http://schemas.openxmlformats.org/officeDocument/2006/relationships/hyperlink" Id="rId124" Target="https://doi.org/10.1177/2632666321989018" TargetMode="External" /><Relationship Type="http://schemas.openxmlformats.org/officeDocument/2006/relationships/hyperlink" Id="rId96" Target="https://doi.org/10.1177/26326663221074263" TargetMode="External" /><Relationship Type="http://schemas.openxmlformats.org/officeDocument/2006/relationships/hyperlink" Id="rId104" Target="https://doi.org/10.1177/26326663251320813" TargetMode="External" /><Relationship Type="http://schemas.openxmlformats.org/officeDocument/2006/relationships/hyperlink" Id="rId100" Target="https://doi.org/10.1177/26326663251320862" TargetMode="External" /><Relationship Type="http://schemas.openxmlformats.org/officeDocument/2006/relationships/hyperlink" Id="rId94" Target="https://doi.org/10.17863/CAM.109063" TargetMode="External" /><Relationship Type="http://schemas.openxmlformats.org/officeDocument/2006/relationships/hyperlink" Id="rId147" Target="https://doi.org/10.18574/nyu/9781479876778.003.0002" TargetMode="External" /><Relationship Type="http://schemas.openxmlformats.org/officeDocument/2006/relationships/hyperlink" Id="rId56" Target="https://doi.org/10.18778/1733-8077.18.4.06" TargetMode="External" /><Relationship Type="http://schemas.openxmlformats.org/officeDocument/2006/relationships/hyperlink" Id="rId126" Target="https://doi.org/10.2307/2088170" TargetMode="External" /><Relationship Type="http://schemas.openxmlformats.org/officeDocument/2006/relationships/hyperlink" Id="rId140" Target="https://doi.org/10.2307/2089195" TargetMode="External" /><Relationship Type="http://schemas.openxmlformats.org/officeDocument/2006/relationships/hyperlink" Id="rId73" Target="https://doi.org/10.2307/3097163" TargetMode="External" /><Relationship Type="http://schemas.openxmlformats.org/officeDocument/2006/relationships/hyperlink" Id="rId89" Target="https://doi.org/10.2307/799047" TargetMode="External" /><Relationship Type="http://schemas.openxmlformats.org/officeDocument/2006/relationships/hyperlink" Id="rId137" Target="https://doi.org/10.4324/9780203101124" TargetMode="External" /><Relationship Type="http://schemas.openxmlformats.org/officeDocument/2006/relationships/hyperlink" Id="rId149" Target="https://doi.org/10.4324/9780203986820-32" TargetMode="External" /><Relationship Type="http://schemas.openxmlformats.org/officeDocument/2006/relationships/hyperlink" Id="rId116" Target="https://doi.org/10.4324/9781315797779" TargetMode="External" /><Relationship Type="http://schemas.openxmlformats.org/officeDocument/2006/relationships/hyperlink" Id="rId118" Target="https://heinonline.org/HOL/P?h=hein.journals/bjcl21&amp;i=95" TargetMode="External" /><Relationship Type="http://schemas.openxmlformats.org/officeDocument/2006/relationships/hyperlink" Id="rId68" Target="https://www.jstor.org/stable/20762302" TargetMode="External" /><Relationship Type="http://schemas.openxmlformats.org/officeDocument/2006/relationships/hyperlink" Id="rId120"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dc:creator>
  <dc:language>en-GB</dc:language>
  <cp:keywords>prison sociology, moral communication, punishment, prison ethnography, legitimacy, adaptation</cp:keywords>
  <dcterms:created xsi:type="dcterms:W3CDTF">2025-11-19T10:15:42Z</dcterms:created>
  <dcterms:modified xsi:type="dcterms:W3CDTF">2025-11-19T10:15:42Z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2025-11-13</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The neglected role of the offence in prison sociology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