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 ‘safeguarding’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10" w:name="availablity"/>
    <w:p>
      <w:pPr>
        <w:pStyle w:val="Heading1"/>
      </w:pPr>
      <w:r>
        <w:t xml:space="preserve">Availablity</w:t>
      </w:r>
    </w:p>
    <w:p>
      <w:pPr>
        <w:pStyle w:val="FirstParagraph"/>
      </w:pPr>
      <w:r>
        <w:t xml:space="preserve">Paper text and slides available via</w:t>
      </w:r>
      <w:r>
        <w:t xml:space="preserve"> </w:t>
      </w:r>
      <w:hyperlink r:id="rId9">
        <w:r>
          <w:rPr>
            <w:rStyle w:val="Hyperlink"/>
          </w:rPr>
          <w:t xml:space="preserve">https://www.repository.cam.ac.uk/handle/1810/291976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2026-04-10T21:25:54Z</dcterms:created>
  <dcterms:modified xsi:type="dcterms:W3CDTF">2026-04-10T21:25:54Z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Children in the secure estate, 1960-2016</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https://www.repository.cam.ac.uk/handle/1810/291976</vt:lpwstr>
  </property>
</Properties>
</file>