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11" w:name="availability"/>
    <w:p>
      <w:pPr>
        <w:pStyle w:val="Heading1"/>
      </w:pPr>
      <w:r>
        <w:t xml:space="preserve">Availability</w:t>
      </w:r>
    </w:p>
    <w:p>
      <w:pPr>
        <w:pStyle w:val="FirstParagraph"/>
      </w:pPr>
      <w:r>
        <w:t xml:space="preserve">The document archived</w:t>
      </w:r>
      <w:r>
        <w:t xml:space="preserve"> </w:t>
      </w:r>
      <w:hyperlink r:id="rId9">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10">
        <w:r>
          <w:rPr>
            <w:rStyle w:val="Hyperlink"/>
          </w:rPr>
          <w:t xml:space="preserve">https://academic.oup.com/bjc/article/60/6/1460/5828494</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2026-04-10T21:26:29Z</dcterms:created>
  <dcterms:modified xsi:type="dcterms:W3CDTF">2026-04-10T21:26:29Z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offence and the life course in accounts of adaptation to life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https://www.repository.cam.ac.uk/handle/1810/304564</vt:lpwstr>
  </property>
</Properties>
</file>