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Author"/>
      </w:pPr>
      <w:r>
        <w:t xml:space="preserve">Ben Jarman</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10" w:name="availability"/>
    <w:p>
      <w:pPr>
        <w:pStyle w:val="Heading1"/>
      </w:pPr>
      <w:r>
        <w:t xml:space="preserve">Availability</w:t>
      </w:r>
    </w:p>
    <w:p>
      <w:pPr>
        <w:pStyle w:val="FirstParagraph"/>
      </w:pPr>
      <w:r>
        <w:t xml:space="preserve">Available via the publisher’s website at</w:t>
      </w:r>
      <w:r>
        <w:t xml:space="preserve"> </w:t>
      </w:r>
      <w:hyperlink r:id="rId9">
        <w:r>
          <w:rPr>
            <w:rStyle w:val="Hyperlink"/>
          </w:rPr>
          <w:t xml:space="preserve">https://changinginside.co.uk/links/right-to-hope/</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9"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Ben Jarman</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2026-04-10T21:26:49Z</dcterms:created>
  <dcterms:modified xsi:type="dcterms:W3CDTF">2026-04-10T21:26:49Z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2018-10-18</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Can better policies guarantee child welfare in secure custody?</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https://www.historyandpolicy.org/policy-papers/papers/scandal-and-reform-1960-2016-better-policies-child-welfare-secure-custody</vt:lpwstr>
  </property>
</Properties>
</file>