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2026-01-05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show – initially through non-normative description – the acute suffering of long-term imprisonment and the complex processes of moral reflection that follow. These diverge markedly from sentencing policy’s intended outcomes. We then make the case that life sentences, while effective in causing suffering, often do so excessively, failing to facilitate coherent moral communication or foster reflection on wrongdoing. Intense anguish inhibits constructive moral engagement. By evidencing this, we aim to enrich the dialogue between penal theory and empirical penology.</w:t>
      </w:r>
    </w:p>
    <w:bookmarkEnd w:id="9"/>
    <w:bookmarkStart w:id="11" w:name="context"/>
    <w:p>
      <w:pPr>
        <w:pStyle w:val="Heading2"/>
      </w:pPr>
      <w:r>
        <w:t xml:space="preserve">Context</w:t>
      </w:r>
    </w:p>
    <w:p>
      <w:pPr>
        <w:pStyle w:val="FirstParagraph"/>
      </w:pPr>
      <w:r>
        <w:t xml:space="preserve">As of September 2025, 7,547 men and women were serving life sentences in custody in England &amp; Wales</w:t>
      </w:r>
      <w:r>
        <w:t xml:space="preserve"> </w:t>
      </w:r>
      <w:r>
        <w:t xml:space="preserve">(</w:t>
      </w:r>
      <w:hyperlink w:anchor="X601988de8266726bc1376638298e8cb76ab984f">
        <w:r>
          <w:rPr>
            <w:rStyle w:val="Hyperlink"/>
          </w:rPr>
          <w:t xml:space="preserve">Ministry of Justice 2025a</w:t>
        </w:r>
      </w:hyperlink>
      <w:r>
        <w:t xml:space="preserve">)</w:t>
      </w:r>
      <w:r>
        <w:t xml:space="preserve">. This is double the 1993 figure and almost 2,000 more than 20 years ago, meaning life-sentenced prisoners (LSPs) constitute over eight per cent of the prison population. The number serving very long sentences</w:t>
      </w:r>
      <w:r>
        <w:t xml:space="preserve"> </w:t>
      </w:r>
      <w:r>
        <w:t xml:space="preserve">(ie with tariffs over 20 years – see</w:t>
      </w:r>
      <w:r>
        <w:t xml:space="preserve"> </w:t>
      </w:r>
      <w:hyperlink w:anchor="Xc73ad580fbb9170a5a28cab9a86cf176ad7fdd9">
        <w:r>
          <w:rPr>
            <w:rStyle w:val="Hyperlink"/>
          </w:rPr>
          <w:t xml:space="preserve">Ministry of Justice 2025b</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 – 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2025b</w:t>
        </w:r>
      </w:hyperlink>
      <w:r>
        <w:t xml:space="preserve">, tbl. 1.Q.14)</w:t>
      </w:r>
      <w:r>
        <w:t xml:space="preserve">.</w:t>
      </w:r>
    </w:p>
    <w:p>
      <w:pPr>
        <w:pStyle w:val="BodyText"/>
      </w:pPr>
      <w:r>
        <w:t xml:space="preserve">Changes in murder sentencing stem from legislation, not shifts in the nature or prevalence of homicide</w:t>
      </w:r>
      <w:r>
        <w:t xml:space="preserve"> </w:t>
      </w:r>
      <w:r>
        <w:t xml:space="preserve">(</w:t>
      </w:r>
      <w:hyperlink w:anchor="Xc65353c174e348821299cf177d95b0c423c7f2b">
        <w:r>
          <w:rPr>
            <w:rStyle w:val="Hyperlink"/>
          </w:rPr>
          <w:t xml:space="preserve">Office for National Statistics 2025</w:t>
        </w:r>
      </w:hyperlink>
      <w:r>
        <w:t xml:space="preserve">)</w:t>
      </w:r>
      <w:r>
        <w:t xml:space="preserve">. Introducing the current statutory sentencing regime in 2003, Home Secretary David Blunkett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theme: the law would</w:t>
      </w:r>
      <w:r>
        <w:t xml:space="preserve"> </w:t>
      </w:r>
      <w:r>
        <w:t xml:space="preserve">‘send signals to perpetrators and the wider community’</w:t>
      </w:r>
      <w:r>
        <w:t xml:space="preserve"> </w:t>
      </w:r>
      <w:r>
        <w:t xml:space="preserve">and deter by</w:t>
      </w:r>
      <w:r>
        <w:t xml:space="preserve"> </w:t>
      </w:r>
      <w:r>
        <w:t xml:space="preserve">‘showing [offenders] there will be clear consequences’</w:t>
      </w:r>
      <w:r>
        <w:t xml:space="preserve">. Blunkett also cited high-profile examples of serious reoffending to suggest that longer minimum terms would benefit public protection.</w:t>
      </w:r>
      <w:r>
        <w:rPr>
          <w:rStyle w:val="FootnoteReference"/>
        </w:rPr>
        <w:footnoteReference w:id="10"/>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the</w:t>
      </w:r>
      <w:r>
        <w:t xml:space="preserve"> </w:t>
      </w:r>
      <w:r>
        <w:rPr>
          <w:i/>
          <w:iCs/>
        </w:rPr>
        <w:t xml:space="preserve">intrinsic</w:t>
      </w:r>
      <w:r>
        <w:t xml:space="preserve"> </w:t>
      </w:r>
      <w:r>
        <w:t xml:space="preserve">consequences of severity, suggesting that unduly severe punishments create suffering and crises of meaning which impede reflection on wrongdoing, and lessen the possibility of rehabilitation.</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sampled by sentence stage, 146 of whom also engaged in in-depth interviews.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11"/>
    <w:bookmarkStart w:id="14" w:name="life-imprisonment-and-suffering"/>
    <w:p>
      <w:pPr>
        <w:pStyle w:val="Heading2"/>
      </w:pPr>
      <w:r>
        <w:t xml:space="preserve">Life Imprisonment and Suffering</w:t>
      </w:r>
    </w:p>
    <w:p>
      <w:pPr>
        <w:pStyle w:val="FirstParagraph"/>
      </w:pPr>
      <w:r>
        <w:t xml:space="preserve">Evidence shows that prisoner distress is most common – and most predictable – during the period immediately following admission to prison</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Survey data and prisoners’ accounts corroborate this finding</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but the disorientation and</w:t>
      </w:r>
      <w:r>
        <w:t xml:space="preserve"> </w:t>
      </w:r>
      <w:r>
        <w:t xml:space="preserve">‘entry shock’</w:t>
      </w:r>
      <w:r>
        <w:t xml:space="preserve"> </w:t>
      </w:r>
      <w:r>
        <w:t xml:space="preserve">of a very long sentence differ in kind, and not simply in degree, from those associated with imprisonment more generally</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Most LSPs describe the early sentence phase</w:t>
      </w:r>
      <w:r>
        <w:rPr>
          <w:rStyle w:val="FootnoteReference"/>
        </w:rPr>
        <w:footnoteReference w:id="12"/>
      </w:r>
      <w:r>
        <w:t xml:space="preserve"> </w:t>
      </w:r>
      <w:r>
        <w:t xml:space="preserve">as a period of acute anguish, when they are flooded with negative sentiments and an overwhelming hopelessness and despair.</w:t>
      </w:r>
    </w:p>
    <w:p>
      <w:pPr>
        <w:pStyle w:val="BodyText"/>
      </w:pPr>
      <w:r>
        <w:t xml:space="preserve">For those in this situation, the present feels meaningless and the future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13"/>
      </w:r>
    </w:p>
    <w:p>
      <w:pPr>
        <w:pStyle w:val="BlockText"/>
      </w:pPr>
      <w:r>
        <w:t xml:space="preserve">A life sentence kills your hope, man, it takes it … it swallows it. You’ve got no hope and no future, no life, no nothing. (Ashley, 30s, early)</w:t>
      </w:r>
    </w:p>
    <w:p>
      <w:pPr>
        <w:pStyle w:val="FirstParagraph"/>
      </w:pPr>
      <w:r>
        <w:t xml:space="preserve">Many whose tariffs exceed their age at conviction struggle to comprehend what lies ahead:</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Many LSPs know that contemplating the time which must elapse before release from prison becomes possible will damage their psychological wellbeing. The metaphors used to describe this period are telling, referencing sinking and drowning, or death and decay –</w:t>
      </w:r>
      <w:r>
        <w:t xml:space="preserve"> </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 … 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 – let alone meaningfully reflecting on what they had done – nearly impossible. Summing up, any early experiences of imprisonment bring crisis and distress; but the early stages of long, indeterminate sentences create distinctive distress that inhibits moral reflection.</w:t>
      </w:r>
    </w:p>
    <w:p>
      <w:pPr>
        <w:pStyle w:val="BodyText"/>
      </w:pPr>
      <w:r>
        <w:t xml:space="preserve">In what follows, we highlight the ruptures life imprisonment engenders to illustrate its suffering and show how prisoners’ coping styles suppress or leave moral reflection unformed.</w:t>
      </w:r>
    </w:p>
    <w:bookmarkEnd w:id="14"/>
    <w:bookmarkStart w:id="1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 –</w:t>
      </w:r>
      <w:r>
        <w:t xml:space="preserve"> </w:t>
      </w:r>
      <w:r>
        <w:t xml:space="preserve">‘there’s no point in living anymore’</w:t>
      </w:r>
      <w:r>
        <w:t xml:space="preserve"> </w:t>
      </w:r>
      <w:r>
        <w:t xml:space="preserve">(Darrin, 20s, early) – 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these losses feel less like a ruined life, since there are often career and family achievements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15"/>
      </w:r>
      <w:r>
        <w:t xml:space="preserve"> </w:t>
      </w:r>
      <w:r>
        <w:t xml:space="preserve">– some clinging to slim hopes of appeal, others psychologically unable to acknowledge their actions (</w:t>
      </w:r>
      <w:r>
        <w:t xml:space="preserve">‘I couldn’t believe I could be that person’</w:t>
      </w:r>
      <w:r>
        <w:t xml:space="preserve"> </w:t>
      </w:r>
      <w:r>
        <w:t xml:space="preserve">– John, 20s, mid).</w:t>
      </w:r>
      <w:r>
        <w:rPr>
          <w:rStyle w:val="FootnoteReference"/>
        </w:rPr>
        <w:footnoteReference w:id="1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reflect on, and in some way come to terms with, what they have done and – unless claiming categorical innocence – express regret and remorse at their involvement in someone else’s death.</w:t>
      </w:r>
    </w:p>
    <w:p>
      <w:pPr>
        <w:pStyle w:val="BodyText"/>
      </w:pPr>
      <w:r>
        <w:t xml:space="preserve">While ostensibly productive, it would be mistaken to identify this adaptation with the absence of suffering, or with the moral engagement required for reflective contemplation on personal wrongdoing. Indeed, prisoners at this sentence stage – in a seemingly endless life chapter, before release is even worth contemplating – 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[i.e. biggest]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LSPs learn to cope. But many do so in – and because of – a state of sustained anaesthesia, numbing precisely the moral emotions which might facilitate deeper accountability. What makes the sentence bearable might compromise the accountability it seeks; it is worth questioning whether, over a long period, this form of living – one which requires the suppression of feeling – is conducive to moral dialogue.</w:t>
      </w:r>
    </w:p>
    <w:p>
      <w:pPr>
        <w:pStyle w:val="BodyText"/>
      </w:pPr>
      <w:r>
        <w:t xml:space="preserve">Other prisoners, having moved beyond early turmoil and found ways to cope, engage in nascent forms of reflective contemplation. They wish to explore existential questions – 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w:t>
      </w:r>
      <w:r>
        <w:t xml:space="preserve"> </w:t>
      </w:r>
      <w:r>
        <w:t xml:space="preserve">‘unpleasantness’</w:t>
      </w:r>
      <w:r>
        <w:t xml:space="preserve"> </w:t>
      </w:r>
      <w:r>
        <w:t xml:space="preserve">(</w:t>
      </w:r>
      <w:hyperlink w:anchor="ref-clarkeMoralResponsibilityGuilt2016">
        <w:r>
          <w:rPr>
            <w:rStyle w:val="Hyperlink"/>
          </w:rPr>
          <w:t xml:space="preserve">Clarke 2016</w:t>
        </w:r>
      </w:hyperlink>
      <w:r>
        <w:t xml:space="preserve">)</w:t>
      </w:r>
      <w:r>
        <w:t xml:space="preserve"> </w:t>
      </w:r>
      <w:r>
        <w:t xml:space="preserve">or</w:t>
      </w:r>
      <w:r>
        <w:t xml:space="preserve"> </w:t>
      </w:r>
      <w:r>
        <w:t xml:space="preserve">‘burdensomeness’</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some retributive theorists see as inherent to punishment. Nor is it consistent with experiences at the milder end of Zaibert’s</w:t>
      </w:r>
      <w:r>
        <w:t xml:space="preserve"> </w:t>
      </w:r>
      <w:r>
        <w:t xml:space="preserve">(</w:t>
      </w:r>
      <w:hyperlink w:anchor="ref-zaibertRethinkingPunishment2018">
        <w:r>
          <w:rPr>
            <w:rStyle w:val="Hyperlink"/>
          </w:rPr>
          <w:t xml:space="preserve">2018</w:t>
        </w:r>
      </w:hyperlink>
      <w:r>
        <w:t xml:space="preserve">)</w:t>
      </w:r>
      <w:r>
        <w:t xml:space="preserve"> </w:t>
      </w:r>
      <w:r>
        <w:t xml:space="preserve">broadly-drawn concept of</w:t>
      </w:r>
      <w:r>
        <w:t xml:space="preserve"> </w:t>
      </w:r>
      <w:r>
        <w:t xml:space="preserve">‘suffering’</w:t>
      </w:r>
      <w:r>
        <w:t xml:space="preserve">, a label which eschews euphemism, and highlights the responsibilities punishers incur when they inflict it. Penal suffering thus defined might encompass experiences that are milder (such as sorrow) or harsher (such as psychological disintegration); their effects will influence their justifiability. At the very least, imposing what we have described – suffering which is acute, harmful, and prolonged, and which appears to numb moral reflection, kill hope, and dehumanise its targets – would require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17"/>
      </w:r>
      <w:r>
        <w:t xml:space="preserve"> </w:t>
      </w:r>
      <w:r>
        <w:t xml:space="preserve">This suggests that, regardless of how decent any institution might be, life imprisonment will generate suffering that is profound, hard to mitigate, and difficult to justify.</w:t>
      </w:r>
    </w:p>
    <w:p>
      <w:pPr>
        <w:pStyle w:val="BodyText"/>
      </w:pPr>
      <w:r>
        <w:t xml:space="preserve">Third, there seems to be an inverse relationship between levels of suffering and the potential for constructive moral reflection. Intense distress colonises mental headspace to a degree that precludes productive moral agency. Perhaps ironically, in time, the same ruptures that initially generate trauma open up space for (or spur more directly) more fruitful moral deliberation, through a complicated interaction between sorrow and interruption which reframes suffering as</w:t>
      </w:r>
      <w:r>
        <w:t xml:space="preserve"> </w:t>
      </w:r>
      <w:r>
        <w:rPr>
          <w:i/>
          <w:iCs/>
        </w:rPr>
        <w:t xml:space="preserve">not meaningless</w:t>
      </w:r>
      <w:r>
        <w:t xml:space="preserve">. It works by separating people from their pre-carceral lifestyles, placing them in circumstances that produce existential clarity about what matters</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18"/>
    <w:bookmarkStart w:id="28" w:name="Xac7be5ba35ed1416cd11f1e352cbc2b5835a76f"/>
    <w:p>
      <w:pPr>
        <w:pStyle w:val="Heading2"/>
      </w:pPr>
      <w:r>
        <w:t xml:space="preserve">Moral Communication and Reflection in Practice</w:t>
      </w:r>
    </w:p>
    <w:p>
      <w:pPr>
        <w:pStyle w:val="FirstParagraph"/>
      </w:pPr>
      <w:r>
        <w:t xml:space="preserve">We now describe the forms of moral reflection evident in our samples,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1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 – with minimal consideration for effects – 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2011</w:t>
        </w:r>
      </w:hyperlink>
      <w:r>
        <w:t xml:space="preserve">, p 16)</w:t>
      </w:r>
      <w:r>
        <w:t xml:space="preserve"> </w:t>
      </w:r>
      <w:r>
        <w:t xml:space="preserve">yet function communicatively – 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w:t>
        </w:r>
      </w:hyperlink>
      <w:r>
        <w:t xml:space="preserve">, p 16)</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 </w:t>
      </w:r>
      <w:r>
        <w:t xml:space="preserve">– 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w:t>
        </w:r>
      </w:hyperlink>
      <w:r>
        <w:t xml:space="preserve">, p 1686)</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w:t>
        </w:r>
      </w:hyperlink>
      <w:r>
        <w:t xml:space="preserve">, p 1690)</w:t>
      </w:r>
      <w:r>
        <w:t xml:space="preserve">. Yet Hampton recognises limits: excessive harshness violates rightful values as much as excessive leniency. However, in serious cases only the state – functioning as the impartial representative of the whole polity – 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w:t>
        </w:r>
      </w:hyperlink>
      <w:r>
        <w:t xml:space="preserve">, p 1694)</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acknowledgement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centrality of risk assessment and management to how the sentence is administered imposes a distorting lens, which often obscures, sometimes occludes, and at best fails to attend to the genuine moral engagement communication theorists seek to promote.</w:t>
      </w:r>
    </w:p>
    <w:bookmarkEnd w:id="19"/>
    <w:bookmarkStart w:id="21" w:name="risk-discourse-and-moral-communication"/>
    <w:p>
      <w:pPr>
        <w:pStyle w:val="Heading3"/>
      </w:pPr>
      <w:r>
        <w:t xml:space="preserve">Risk Discourse and Moral Communication</w:t>
      </w:r>
    </w:p>
    <w:p>
      <w:pPr>
        <w:pStyle w:val="FirstParagraph"/>
      </w:pPr>
      <w:r>
        <w:t xml:space="preserve">Because prisons are closed institutions, the moral dialogue of censure is</w:t>
      </w:r>
      <w:r>
        <w:t xml:space="preserve"> </w:t>
      </w:r>
      <w:r>
        <w:t xml:space="preserve">‘oblique’</w:t>
      </w:r>
      <w:r>
        <w:t xml:space="preserve"> </w:t>
      </w:r>
      <w:r>
        <w:t xml:space="preserve">(</w:t>
      </w:r>
      <w:hyperlink w:anchor="ref-garlandPunishmentModernSociety1990">
        <w:r>
          <w:rPr>
            <w:rStyle w:val="Hyperlink"/>
          </w:rPr>
          <w:t xml:space="preserve">Garland 1990</w:t>
        </w:r>
      </w:hyperlink>
      <w:r>
        <w:t xml:space="preserve">, p 186)</w:t>
      </w:r>
      <w:r>
        <w:t xml:space="preserve">: implicit and mediated through institutional practices, rather than declared directly in public (as by a court). For LSPs, risk assessment and management are the most important such practices – and deliver powerful if indirect messages about desirable moral selfhood because they govern progression and release. Risk is</w:t>
      </w:r>
      <w:r>
        <w:t xml:space="preserve"> </w:t>
      </w:r>
      <w:r>
        <w:rPr>
          <w:i/>
          <w:iCs/>
        </w:rPr>
        <w:t xml:space="preserve">the</w:t>
      </w:r>
      <w:r>
        <w:t xml:space="preserve"> </w:t>
      </w:r>
      <w:r>
        <w:t xml:space="preserve">dominant rationality directing how the sentence is managed; it dominates policy and public discourse concerning how prisoners may be treated, and dictates the terms on which they might be rehabilitated.</w:t>
      </w:r>
    </w:p>
    <w:p>
      <w:pPr>
        <w:pStyle w:val="BodyText"/>
      </w:pPr>
      <w:r>
        <w:t xml:space="preserve">This section unpacks how risk thinking affects censure. Following Williams</w:t>
      </w:r>
      <w:r>
        <w:t xml:space="preserve"> </w:t>
      </w:r>
      <w:r>
        <w:t xml:space="preserve">(</w:t>
      </w:r>
      <w:hyperlink w:anchor="Xf6b0058c8b1d9a1bcd528632cc56148eabbca3d">
        <w:r>
          <w:rPr>
            <w:rStyle w:val="Hyperlink"/>
          </w:rPr>
          <w:t xml:space="preserve">2011</w:t>
        </w:r>
      </w:hyperlink>
      <w:r>
        <w:t xml:space="preserve">)</w:t>
      </w:r>
      <w:r>
        <w:t xml:space="preserve">, we describe an</w:t>
      </w:r>
      <w:r>
        <w:t xml:space="preserve"> </w:t>
      </w:r>
      <w:r>
        <w:t xml:space="preserve">‘actuarial morality system’</w:t>
      </w:r>
      <w:r>
        <w:t xml:space="preserve">: a framework that transforms ethical considerations into risk factors and subordinates moral dialogue (and deliberation) to risk management. While unambiguously aimed at public protection and not censure, this focus on future risk can distort recognition of past wrongs. By thwarting moral dialogue, it arguably also makes the censure envisaged by communicative theorists impossible.</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2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t xml:space="preserve">– a</w:t>
      </w:r>
      <w:r>
        <w:t xml:space="preserve"> </w:t>
      </w:r>
      <w:r>
        <w:t xml:space="preserve">‘thin’</w:t>
      </w:r>
      <w:r>
        <w:t xml:space="preserve">, reductionist characterisation, and one lacking the specific context necessary for a</w:t>
      </w:r>
      <w:r>
        <w:t xml:space="preserve"> </w:t>
      </w:r>
      <w:r>
        <w:t xml:space="preserve">‘thick’</w:t>
      </w:r>
      <w:r>
        <w:t xml:space="preserve"> </w:t>
      </w:r>
      <w:r>
        <w:t xml:space="preserve">description of his personhood. The basis for restoration was not dialogue, reflection, and amends, but learned acquiescence to the prison’s framing of his selfhood.</w:t>
      </w:r>
    </w:p>
    <w:p>
      <w:pPr>
        <w:pStyle w:val="BodyText"/>
      </w:pPr>
      <w:r>
        <w:t xml:space="preserve">Our contention is that prison risk practices can</w:t>
      </w:r>
      <w:r>
        <w:t xml:space="preserve"> </w:t>
      </w:r>
      <w:r>
        <w:rPr>
          <w:i/>
          <w:iCs/>
        </w:rPr>
        <w:t xml:space="preserve">stigmatise</w:t>
      </w:r>
      <w:r>
        <w:t xml:space="preserve"> </w:t>
      </w:r>
      <w:r>
        <w:t xml:space="preserve">without necessarily</w:t>
      </w:r>
      <w:r>
        <w:t xml:space="preserve"> </w:t>
      </w:r>
      <w:r>
        <w:rPr>
          <w:i/>
          <w:iCs/>
        </w:rPr>
        <w:t xml:space="preserve">censuring</w:t>
      </w:r>
      <w:r>
        <w:t xml:space="preserve">: they detach the offence from its specific relational contexts, replace these with a generic presumption of risk, and label the prisoner as</w:t>
      </w:r>
      <w:r>
        <w:t xml:space="preserve"> </w:t>
      </w:r>
      <w:r>
        <w:t xml:space="preserve">‘risky’</w:t>
      </w:r>
      <w:r>
        <w:t xml:space="preserve">, with consequences for their future social existence. Rather than engaging prisoners as moral subjects, risk practices treat them as dangerous objects whose autonomy must be constrained.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 To demonstrate reduced future risk, prisoners must somehow signal</w:t>
      </w:r>
      <w:r>
        <w:t xml:space="preserve"> </w:t>
      </w:r>
      <w:r>
        <w:t xml:space="preserve">‘insight’</w:t>
      </w:r>
      <w:r>
        <w:t xml:space="preserve"> </w:t>
      </w:r>
      <w:r>
        <w:t xml:space="preserve">into their past behaviour. Yet what constitutes insight is opaque and shifting, seeming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 – acknowledging peripheral but not core wrongs – will suffice:</w:t>
      </w:r>
      <w:r>
        <w:t xml:space="preserve"> </w:t>
      </w:r>
      <w:r>
        <w:t xml:space="preserve">‘[I’m innocent of murder, but] I’ve said I’m not proud of the way I was … in relation to the affairs. I can openly admit [that], I said, ’No-one deserves that’</w:t>
      </w:r>
      <w:r>
        <w:t xml:space="preserve"> </w:t>
      </w:r>
      <w:r>
        <w:t xml:space="preserve">(Ian, 50s, post-tariff).</w:t>
      </w:r>
    </w:p>
    <w:p>
      <w:pPr>
        <w:pStyle w:val="BodyText"/>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2019</w:t>
        </w:r>
      </w:hyperlink>
      <w:r>
        <w:t xml:space="preserve">)</w:t>
      </w:r>
      <w:r>
        <w:t xml:space="preserve"> </w:t>
      </w:r>
      <w:r>
        <w:t xml:space="preserve">performed by LSPs,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 I have to manage my risk. Because it’s me that is responsible for my actions’</w:t>
      </w:r>
      <w:r>
        <w:t xml:space="preserve">. And [my offender manager] said,</w:t>
      </w:r>
      <w:r>
        <w:t xml:space="preserve"> </w:t>
      </w:r>
      <w:r>
        <w:t xml:space="preserve">‘no, we manage your risk’</w:t>
      </w:r>
      <w:r>
        <w:t xml:space="preserve"> </w:t>
      </w:r>
      <w:r>
        <w:t xml:space="preserve">…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childlike dependency and acquiescence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(on the practical consequences, see</w:t>
      </w:r>
      <w:r>
        <w:t xml:space="preserve"> </w:t>
      </w:r>
      <w:hyperlink w:anchor="Xfa089967d99a5ec91966640dc70f33e4e99cfaa">
        <w:r>
          <w:rPr>
            <w:rStyle w:val="Hyperlink"/>
          </w:rPr>
          <w:t xml:space="preserve">HM Inspectorate of Probation &amp; HM Inspectorate of Prisons 2022</w:t>
        </w:r>
      </w:hyperlink>
      <w:r>
        <w:t xml:space="preserve">)</w:t>
      </w:r>
      <w:r>
        <w:t xml:space="preserve">.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w:t>
      </w:r>
      <w:r>
        <w:t xml:space="preserve">for others. Prisoners understand that interventions shape their progression chances, and often interpret a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[sentence plan] reviews … They don’t know you or what you’ve been through. (Ebo, 20s, mid)</w:t>
      </w:r>
    </w:p>
    <w:p>
      <w:pPr>
        <w:pStyle w:val="BlockText"/>
      </w:pPr>
      <w:r>
        <w:t xml:space="preserve">They put me on the back burner, because …</w:t>
      </w:r>
      <w:r>
        <w:t xml:space="preserve"> </w:t>
      </w:r>
      <w:r>
        <w:t xml:space="preserve">‘he’s got a long time to do.’</w:t>
      </w:r>
      <w:r>
        <w:t xml:space="preserve"> </w:t>
      </w:r>
      <w:r>
        <w:t xml:space="preserve">But, I mean, [I’ve been here] six years … And I’ve asked for a sentence plan, but …</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21"/>
    <w:bookmarkStart w:id="25" w:name="X2febd389ed1fe200b012b8dbc07684b4964b49d"/>
    <w:p>
      <w:pPr>
        <w:pStyle w:val="Heading3"/>
      </w:pPr>
      <w:r>
        <w:t xml:space="preserve">Temporal Misalignment and Missed Opportunities</w:t>
      </w:r>
    </w:p>
    <w:p>
      <w:pPr>
        <w:pStyle w:val="FirstParagraph"/>
      </w:pPr>
      <w:r>
        <w:t xml:space="preserve">Amidst resourcing pressures, accessing risk-focused interventions can be difficult, and the intensity and timing of official communication becomes highly contingent. Generally, prisoners with earlier release dates take priority (meaning LSPs whose release is distant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or expedited intervention.</w:t>
      </w:r>
      <w:r>
        <w:rPr>
          <w:rStyle w:val="FootnoteReference"/>
        </w:rPr>
        <w:footnoteReference w:id="22"/>
      </w:r>
    </w:p>
    <w:p>
      <w:pPr>
        <w:pStyle w:val="BodyText"/>
      </w:pPr>
      <w:r>
        <w:t xml:space="preserve">Though a rational allocation of scarce resources, this ensures that the timing and intensity of moral communication varies considerably, influenced by a range of prospective factors unrelated to the retrospective determinants of</w:t>
      </w:r>
      <w:r>
        <w:t xml:space="preserve"> </w:t>
      </w:r>
      <w:r>
        <w:t xml:space="preserve">‘seriousness’</w:t>
      </w:r>
      <w:r>
        <w:t xml:space="preserve"> </w:t>
      </w:r>
      <w:r>
        <w:t xml:space="preserve">used by courts to determine culpability and allocate a commensurate sentence. The timing (or absence) of intervention has unforeseen effects on the censure delivered. During the early sentence stages Tony (30s, mid) experienced the nihilistic anger and overwhelm we note above, particularly relating to shame about his offence. His violence towards prison staff expedited his access to intervention, yielding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However, 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implies little more than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censure can be distorted by risk, but also that prisons may fail to engage in it at all. Attempts to systematise the management of risk may obstruct or even preclude dialogue, even where prisoners are attempting to engage in it:</w:t>
      </w:r>
    </w:p>
    <w:p>
      <w:pPr>
        <w:pStyle w:val="BlockText"/>
      </w:pPr>
      <w:r>
        <w:t xml:space="preserve">There’s a lad on my spur, I think he’s about 20 months into a 22-year tariff. He’s asked them … he’s asked for TSP,</w:t>
      </w:r>
      <w:r>
        <w:rPr>
          <w:rStyle w:val="FootnoteReference"/>
        </w:rPr>
        <w:footnoteReference w:id="23"/>
      </w:r>
      <w:r>
        <w:t xml:space="preserve"> </w:t>
      </w:r>
      <w:r>
        <w:t xml:space="preserve">to get on it, and they’re saying, well, you know what, we’ll put you on the waiting list, but … there’ll be people … that’ll need it before you. So … he wrote to Grendon,</w:t>
      </w:r>
      <w:r>
        <w:rPr>
          <w:rStyle w:val="FootnoteReference"/>
        </w:rPr>
        <w:footnoteReference w:id="2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fail to align with windows of moral openness. As we saw above, distress experienced in the early sentence stage can obstruct meaningful reflection. Some high-risk prisoners encounter intensive intervention at this stage, with potentially positive results. Conversely, others receive attention much later – when the offence’s immediacy has faded – and show considerable defensiveness and disengagement:</w:t>
      </w:r>
    </w:p>
    <w:p>
      <w:pPr>
        <w:pStyle w:val="BlockText"/>
      </w:pPr>
      <w:r>
        <w:t xml:space="preserve">I’ve done two … three … four … five courses while I’ve been here, I think. But I couldn’t tell you what they’re called. It just fucking goes in one ear and out the other now.</w:t>
      </w:r>
      <w:r>
        <w:br/>
      </w:r>
      <w:r>
        <w:rPr>
          <w:i/>
          <w:iCs/>
        </w:rPr>
        <w:t xml:space="preserve">Yeah. Are you past the point where you engage with them seriously?</w:t>
      </w:r>
      <w:r>
        <w:br/>
      </w: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LSPs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25"/>
    <w:bookmarkStart w:id="27"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Prisoners’ reflections, by contrast, follow individual pathways, require individual catalysts, and tend to explore both culpability and redemption. Often, such reflections occur beyond the scope or the prompting of institutional risk frameworks, taking hold through varied channels. Here, we discuss four significant examples: experiences of grief and loss, informal relationships, commitments to faith and education, and private practices of penance.</w:t>
      </w:r>
    </w:p>
    <w:p>
      <w:pPr>
        <w:pStyle w:val="BodyText"/>
      </w:pPr>
      <w:r>
        <w:t xml:space="preserve">Many LSPs reflect on loss – through bereavement or the ruptures we describe above – 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 (emphasis added)</w:t>
      </w:r>
    </w:p>
    <w:p>
      <w:pPr>
        <w:pStyle w:val="FirstParagraph"/>
      </w:pPr>
      <w:r>
        <w:t xml:space="preserve">In this example, Tom was reflecting on being unable to comfort grieving family members. Such a personal rupture deepened his moral understanding of loss. However, he also noted that the challenges of</w:t>
      </w:r>
      <w:r>
        <w:t xml:space="preserve"> </w:t>
      </w:r>
      <w:r>
        <w:rPr>
          <w:i/>
          <w:iCs/>
        </w:rPr>
        <w:t xml:space="preserve">getting through the sentence</w:t>
      </w:r>
      <w:r>
        <w:t xml:space="preserve"> </w:t>
      </w:r>
      <w:r>
        <w:t xml:space="preserve">(</w:t>
      </w:r>
      <w:r>
        <w:t xml:space="preserve">‘my little goals’</w:t>
      </w:r>
      <w:r>
        <w:t xml:space="preserve">) had diverted his attention from the offence. The demands of accountability and the pragmatics of survival were in conflict, something particularly likely to occur in prisons marked by pervasive violence and tension. In such environments – 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 – 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Leon’s (40s, mid) priorities shifted after he reflected on his family’s loyalty, against the disappearance of his friendships with former associates :</w:t>
      </w:r>
      <w:r>
        <w:t xml:space="preserve"> </w:t>
      </w:r>
      <w:r>
        <w:t xml:space="preserve">‘The most meaningful thing in my life right now? I’d say family. My mum, my brother, my nan … My priorities wasn’t in the right place … That’s changed now.’</w:t>
      </w:r>
    </w:p>
    <w:p>
      <w:pPr>
        <w:pStyle w:val="BodyText"/>
      </w:pPr>
      <w:r>
        <w:t xml:space="preserve">Supportive, trusting friendships within prison could play a similar role. Tony (quoted above) described how supportive words from a prison officer opened a new, less defensive standpoint on his punishment. For some, similar shifts followed comments from trusted peers – not always positive –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risk-focused programmes, but a chaplain’s pastoral recognition of his humanity and potential. Frank heard a perspective which neither ignored his grave wrongdoing nor trapped him in guilt, but instead held out the possibility of moral restoration. Others, too, described how faith practices acknowledged, yet paradoxically also relieved, guilt: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 (Andy, 30s, late; emphasis added)</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 (</w:t>
      </w:r>
      <w:r>
        <w:t xml:space="preserve">‘I’ll never forgive myself. I don’t want to forgive myself’</w:t>
      </w:r>
      <w:r>
        <w:t xml:space="preserve">) and deliberately stopped taking medication to induce illness. Tom (50s, post-tariff) practised similar self-denial:</w:t>
      </w:r>
      <w:r>
        <w:t xml:space="preserve"> </w:t>
      </w:r>
      <w:r>
        <w:t xml:space="preserve">‘I don’t want to feel too good. [My victim] cannot laugh, she cannot smile, she cannot see her family, so why should I? So, if I [feel too good] I would punish myself.’</w:t>
      </w:r>
      <w:r>
        <w:t xml:space="preserve"> </w:t>
      </w:r>
      <w:r>
        <w:t xml:space="preserve">Tom’s methods ranged from self-harm (in earlier years) to self-denial, as when he refused entertainment or moments of conviviality:</w:t>
      </w:r>
      <w:r>
        <w:t xml:space="preserve"> </w:t>
      </w:r>
      <w:r>
        <w:t xml:space="preserve">‘If the lads were having a food boat</w:t>
      </w:r>
      <w:r>
        <w:rPr>
          <w:rStyle w:val="FootnoteReference"/>
        </w:rPr>
        <w:footnoteReference w:id="26"/>
      </w:r>
      <w:r>
        <w:t xml:space="preserve"> </w:t>
      </w:r>
      <w:r>
        <w:t xml:space="preserve">… I would say no, bang up, go without, just to punish myself.’</w:t>
      </w:r>
    </w:p>
    <w:p>
      <w:pPr>
        <w:pStyle w:val="BodyText"/>
      </w:pPr>
      <w:r>
        <w:t xml:space="preserve">The voluntary nature of these practices distinguishes them, as does their connection to meaningful relationships, including with the memory of victims. Unlike institutional programmes, they emerge from prisoners’ inner lives. They acknowledge wrongdoing without seeking institutional validation.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the legitimate normative goals of public protection and rehabilitation might be distorting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her critique of retributive thinking,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that prisons too often fail to provide. Risk assessments conducted by strangers, however predictively valid, procedurally fair, or professionally competent, might lack the standing to elicit genuine moral engagement.</w:t>
      </w:r>
    </w:p>
    <w:p>
      <w:pPr>
        <w:pStyle w:val="BodyText"/>
      </w:pPr>
      <w:r>
        <w:t xml:space="preserve">Exceptions to these patterns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27"/>
    <w:bookmarkEnd w:id="28"/>
    <w:bookmarkStart w:id="33" w:name="conclusion"/>
    <w:p>
      <w:pPr>
        <w:pStyle w:val="Heading2"/>
      </w:pPr>
      <w:r>
        <w:t xml:space="preserve">Conclusion</w:t>
      </w:r>
    </w:p>
    <w:p>
      <w:pPr>
        <w:pStyle w:val="FirstParagraph"/>
      </w:pPr>
      <w:r>
        <w:t xml:space="preserve">It might be necessary or inevitable that punishment causes suffering. Our argument starts from the idea that retributive suffering reaffirms</w:t>
      </w:r>
      <w:r>
        <w:t xml:space="preserve"> </w:t>
      </w:r>
      <w:r>
        <w:t xml:space="preserve">(or</w:t>
      </w:r>
      <w:r>
        <w:t xml:space="preserve"> </w:t>
      </w:r>
      <w:r>
        <w:t xml:space="preserve">‘vindicates’</w:t>
      </w:r>
      <w:r>
        <w:t xml:space="preserve">, see</w:t>
      </w:r>
      <w:r>
        <w:t xml:space="preserve"> </w:t>
      </w:r>
      <w:hyperlink w:anchor="ref-hamptonCorrectingHarmsRighting1991">
        <w:r>
          <w:rPr>
            <w:rStyle w:val="Hyperlink"/>
          </w:rPr>
          <w:t xml:space="preserve">Hampton 1991</w:t>
        </w:r>
      </w:hyperlink>
      <w:r>
        <w:t xml:space="preserve">;</w:t>
      </w:r>
      <w:r>
        <w:t xml:space="preserve"> </w:t>
      </w:r>
      <w:hyperlink w:anchor="ref-norrieRethinkingCriminalJustice2026">
        <w:r>
          <w:rPr>
            <w:rStyle w:val="Hyperlink"/>
          </w:rPr>
          <w:t xml:space="preserve">Norrie 2026</w:t>
        </w:r>
      </w:hyperlink>
      <w:r>
        <w:t xml:space="preserve">)</w:t>
      </w:r>
      <w:r>
        <w:t xml:space="preserve"> </w:t>
      </w:r>
      <w:r>
        <w:t xml:space="preserve">values violated by wrongdoing. If it does, then the values affirmed, and the conditions under which communication with offenders takes place, matter for how we evaluate their treatment.</w:t>
      </w:r>
    </w:p>
    <w:p>
      <w:pPr>
        <w:pStyle w:val="BodyText"/>
      </w:pPr>
      <w:r>
        <w:t xml:space="preserve">We have described the acute suffering generated by the contemporary life sentence, arguing that both its extreme length, and the centrality of risk to its paradigm of moral evaluation, compromise its communicative functions. Even retributivist theorists who do not value moral dialogue (but simply emphasise desert) might concede that excessive penal suffering could undermine the values they wish to vindicate – moral agency, respect, responsibility. If retributive punishment means more than vengeance, and aims either to vindicate values or promote moral engagement,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w:t>
      </w:r>
      <w:r>
        <w:t xml:space="preserve"> </w:t>
      </w:r>
      <w:r>
        <w:t xml:space="preserve">‘simple-mindedness’</w:t>
      </w:r>
      <w:r>
        <w:t xml:space="preserve"> </w:t>
      </w:r>
      <w:r>
        <w:t xml:space="preserve">– specifically, an impoverished theory of value.</w:t>
      </w:r>
      <w:r>
        <w:rPr>
          <w:rStyle w:val="FootnoteReference"/>
        </w:rPr>
        <w:footnoteReference w:id="29"/>
      </w:r>
      <w:r>
        <w:t xml:space="preserve"> </w:t>
      </w:r>
      <w:r>
        <w:t xml:space="preserve">In reducing all values to desert, they evade the responsibilities punishers ought to feel. For Zaibert, this is</w:t>
      </w:r>
      <w:r>
        <w:t xml:space="preserve"> </w:t>
      </w:r>
      <w:r>
        <w:t xml:space="preserve">‘impoverished’</w:t>
      </w:r>
      <w:r>
        <w:t xml:space="preserve"> </w:t>
      </w:r>
      <w:r>
        <w:t xml:space="preserve">because it is inhospitable to what the poet Wilfred Owen called the</w:t>
      </w:r>
      <w:r>
        <w:t xml:space="preserve"> </w:t>
      </w:r>
      <w:r>
        <w:t xml:space="preserve">‘eternal reciprocity of tears’</w:t>
      </w:r>
      <w:r>
        <w:t xml:space="preserve"> </w:t>
      </w:r>
      <w:r>
        <w:t xml:space="preserve">– the moral emotions that</w:t>
      </w:r>
      <w:r>
        <w:t xml:space="preserve"> </w:t>
      </w:r>
      <w:r>
        <w:rPr>
          <w:i/>
          <w:iCs/>
        </w:rPr>
        <w:t xml:space="preserve">should</w:t>
      </w:r>
      <w:r>
        <w:t xml:space="preserve"> </w:t>
      </w:r>
      <w:r>
        <w:t xml:space="preserve">trouble us.</w:t>
      </w:r>
      <w:r>
        <w:rPr>
          <w:rStyle w:val="FootnoteReference"/>
        </w:rPr>
        <w:footnoteReference w:id="30"/>
      </w:r>
      <w:r>
        <w:t xml:space="preserve"> </w:t>
      </w:r>
      <w:r>
        <w:t xml:space="preserve">Such emotions –</w:t>
      </w:r>
      <w:r>
        <w:t xml:space="preserve"> </w:t>
      </w:r>
      <w:r>
        <w:t xml:space="preserve">‘remainders’</w:t>
      </w:r>
      <w:r>
        <w:t xml:space="preserve"> </w:t>
      </w:r>
      <w:r>
        <w:t xml:space="preserve">(</w:t>
      </w:r>
      <w:hyperlink w:anchor="ref-zaibertRethinkingPunishment2018">
        <w:r>
          <w:rPr>
            <w:rStyle w:val="Hyperlink"/>
          </w:rPr>
          <w:t xml:space="preserve">Zaibert 2018</w:t>
        </w:r>
      </w:hyperlink>
      <w:r>
        <w:t xml:space="preserve">, ppp 145–6)</w:t>
      </w:r>
      <w:r>
        <w:t xml:space="preserve"> </w:t>
      </w:r>
      <w:r>
        <w:t xml:space="preserve">– can persist even after justified actions.</w:t>
      </w:r>
      <w:r>
        <w:rPr>
          <w:rStyle w:val="FootnoteReference"/>
        </w:rPr>
        <w:footnoteReference w:id="31"/>
      </w:r>
      <w:r>
        <w:t xml:space="preserve"> </w:t>
      </w:r>
      <w:r>
        <w:t xml:space="preserve">To shut oneself off from them can be adaptive, but is also dehumanising (as Owen, reflecting on soldiers who numbed themselves to the effects of battlefield trauma, recognised). Zaibert’s distinction between punishment and revenge hinges precisely on the punisher’s capacity to perceive</w:t>
      </w:r>
      <w:r>
        <w:t xml:space="preserve"> </w:t>
      </w:r>
      <w:r>
        <w:t xml:space="preserve">‘remainders’</w:t>
      </w:r>
      <w:r>
        <w:t xml:space="preserve"> </w:t>
      </w:r>
      <w:r>
        <w:t xml:space="preserve">and experience moral conflict; while an avenger inflicts suffering</w:t>
      </w:r>
      <w:r>
        <w:t xml:space="preserve"> </w:t>
      </w:r>
      <w:r>
        <w:t xml:space="preserve">‘simple-mindedly’</w:t>
      </w:r>
      <w:r>
        <w:t xml:space="preserve">, the legitimate punisher does so while experiencing something like</w:t>
      </w:r>
      <w:r>
        <w:t xml:space="preserve"> </w:t>
      </w:r>
      <w:r>
        <w:t xml:space="preserve">‘agent regret’</w:t>
      </w:r>
      <w:r>
        <w:t xml:space="preserve"> </w:t>
      </w:r>
      <w:r>
        <w:t xml:space="preserve">– a feeling not quite of moral guilt, but of more than generic sadness.</w:t>
      </w:r>
      <w:r>
        <w:rPr>
          <w:rStyle w:val="FootnoteReference"/>
        </w:rPr>
        <w:footnoteReference w:id="32"/>
      </w:r>
      <w:r>
        <w:t xml:space="preserve"> </w:t>
      </w:r>
      <w:r>
        <w:t xml:space="preserve">Such</w:t>
      </w:r>
      <w:r>
        <w:t xml:space="preserve"> </w:t>
      </w:r>
      <w:r>
        <w:t xml:space="preserve">‘remainders’</w:t>
      </w:r>
      <w:r>
        <w:t xml:space="preserve"> </w:t>
      </w:r>
      <w:r>
        <w:t xml:space="preserve">carry moral implications for how to implement punishments, including in relation to the possibility of excess.</w:t>
      </w:r>
    </w:p>
    <w:p>
      <w:pPr>
        <w:pStyle w:val="BodyText"/>
      </w:pPr>
      <w:r>
        <w:t xml:space="preserve">We elaborate Zaibert’s point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LSPs – including Tom and Frank, both quoted above – demonstrate sophisticated moral reasoning. They neither wholly accept nor wholly reject institutional narratives about their culpability. They forgive themselves for some aspects while accepting profound responsibility for others – recognising that quibbles over some elements of the official account pale against the grave losses their actions caused others. This nuanced moral engagement emerges through contingent, personal processes of reflection. We do not claim such epiphanies are universal. Crucially, though, we do not believe they are rare either, and our account of risk management suggests that it leaves little space for the pluralistic forms of responsibility which result.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 – comprising an extremely long penalty phase, with progression organised around a monistic understanding of risk – mirrors the</w:t>
      </w:r>
      <w:r>
        <w:t xml:space="preserve"> </w:t>
      </w:r>
      <w:r>
        <w:t xml:space="preserve">‘simple-mindedness’</w:t>
      </w:r>
      <w:r>
        <w:t xml:space="preserve"> </w:t>
      </w:r>
      <w:r>
        <w:t xml:space="preserve">Zaibert identifies in both</w:t>
      </w:r>
      <w:r>
        <w:t xml:space="preserve"> </w:t>
      </w:r>
      <w:r>
        <w:t xml:space="preserve">‘pure’</w:t>
      </w:r>
      <w:r>
        <w:t xml:space="preserve"> </w:t>
      </w:r>
      <w:r>
        <w:t xml:space="preserve">desert and</w:t>
      </w:r>
      <w:r>
        <w:t xml:space="preserve"> </w:t>
      </w:r>
      <w:r>
        <w:t xml:space="preserve">‘pure’</w:t>
      </w:r>
      <w:r>
        <w:t xml:space="preserve"> </w:t>
      </w:r>
      <w:r>
        <w:t xml:space="preserve">consequentialist theories of punishment. Moore</w:t>
      </w:r>
      <w:r>
        <w:t xml:space="preserve"> </w:t>
      </w:r>
      <w:r>
        <w:t xml:space="preserve">(</w:t>
      </w:r>
      <w:hyperlink w:anchor="ref-moorePlacingBlameTheory2010">
        <w:r>
          <w:rPr>
            <w:rStyle w:val="Hyperlink"/>
          </w:rPr>
          <w:t xml:space="preserve">2010</w:t>
        </w:r>
      </w:hyperlink>
      <w:r>
        <w:t xml:space="preserve">)</w:t>
      </w:r>
      <w:r>
        <w:t xml:space="preserve"> </w:t>
      </w:r>
      <w:r>
        <w:t xml:space="preserve">argued that in sentencing, what the offender deserves trumps all other considerations: no further justification is required to punish, and no limiting principle applies other than proportionality. What we (following Williams) have termed an</w:t>
      </w:r>
      <w:r>
        <w:t xml:space="preserve"> </w:t>
      </w:r>
      <w:r>
        <w:t xml:space="preserve">‘actuarial morality system’</w:t>
      </w:r>
      <w:r>
        <w:t xml:space="preserve"> </w:t>
      </w:r>
      <w:r>
        <w:t xml:space="preserve">is similarly</w:t>
      </w:r>
      <w:r>
        <w:t xml:space="preserve"> </w:t>
      </w:r>
      <w:r>
        <w:t xml:space="preserve">‘simple-minded’</w:t>
      </w:r>
      <w:r>
        <w:t xml:space="preserve">, this time in applying consequentialist ethics. Its effect is to reduce almost all values to risk, and to defer recognition for prisoners’ moral engagement until they have a) consumed a surfeit of retributive time, and b) learned to account for themselves in line with official expectations.</w:t>
      </w:r>
    </w:p>
    <w:p>
      <w:pPr>
        <w:pStyle w:val="BodyText"/>
      </w:pPr>
      <w:r>
        <w:t xml:space="preserve">The sheer temporal burden of the contemporary life sentence leads to what we have called</w:t>
      </w:r>
      <w:r>
        <w:t xml:space="preserve"> </w:t>
      </w:r>
      <w:r>
        <w:t xml:space="preserve">‘sedative coping’</w:t>
      </w:r>
      <w:r>
        <w:t xml:space="preserve">. When prisoners must anaesthetise themselves to survive – becoming, in Mason’s words,</w:t>
      </w:r>
      <w:r>
        <w:t xml:space="preserve"> </w:t>
      </w:r>
      <w:r>
        <w:t xml:space="preserve">‘an emotionless person’</w:t>
      </w:r>
      <w:r>
        <w:t xml:space="preserve"> </w:t>
      </w:r>
      <w:r>
        <w:t xml:space="preserve">– they lose access to precisely those moral emotions which might deepen their engagement. A system that necessitates the suppression of feeling promotes passive endurance, and fails consistently to awaken or facilitate the moral engagement it purports to seek. Alternatively, some prisoners serving long sentences are calling out for such engagement, but find a response that does not align with their hopes in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2020</w:t>
        </w:r>
      </w:hyperlink>
      <w:r>
        <w:t xml:space="preserve">, p 58)</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prisons fail to engage seriously with their communicative duties. If anything, the acute anguish caused by very long sentences seems to impede such a goal, at least during the early stages of custody. At best, life sentences might produce space for prisoners to engage in moral reflection and some forms of accountability. But this is done clumsily, unevenly, and inconsistently, often with the responsibilities associated with avoiding future harms crowding out the responsibilities arising from past wrongs. Our suggestion is that prisons ought to support prisoners in synthesising both forms of responsibility, instead of monistically privileging one above the other.</w:t>
      </w:r>
    </w:p>
    <w:p>
      <w:r>
        <w:br w:type="page"/>
      </w:r>
    </w:p>
    <w:bookmarkEnd w:id="33"/>
    <w:bookmarkStart w:id="102" w:name="references"/>
    <w:p>
      <w:pPr>
        <w:pStyle w:val="Heading2"/>
      </w:pPr>
      <w:r>
        <w:t xml:space="preserve">References</w:t>
      </w:r>
    </w:p>
    <w:bookmarkStart w:id="101" w:name="refs"/>
    <w:bookmarkStart w:id="35" w:name="ref-clarkeMoralResponsibilityGuilt2016"/>
    <w:p>
      <w:pPr>
        <w:pStyle w:val="Bibliography"/>
      </w:pPr>
      <w:r>
        <w:t xml:space="preserve">Clarke, R. (2016).</w:t>
      </w:r>
      <w:r>
        <w:t xml:space="preserve"> </w:t>
      </w:r>
      <w:hyperlink r:id="rId34">
        <w:r>
          <w:rPr>
            <w:rStyle w:val="Hyperlink"/>
          </w:rPr>
          <w:t xml:space="preserve">Moral Responsibility, Guilt, and Retributivism</w:t>
        </w:r>
      </w:hyperlink>
      <w:r>
        <w:t xml:space="preserve">.</w:t>
      </w:r>
      <w:r>
        <w:t xml:space="preserve"> </w:t>
      </w:r>
      <w:r>
        <w:rPr>
          <w:i/>
          <w:iCs/>
        </w:rPr>
        <w:t xml:space="preserve">The Journal of Ethics</w:t>
      </w:r>
      <w:r>
        <w:t xml:space="preserve">,</w:t>
      </w:r>
      <w:r>
        <w:t xml:space="preserve"> </w:t>
      </w:r>
      <w:r>
        <w:rPr>
          <w:b/>
          <w:bCs/>
        </w:rPr>
        <w:t xml:space="preserve">20</w:t>
      </w:r>
      <w:r>
        <w:t xml:space="preserve">(1–3), 121–137.</w:t>
      </w:r>
    </w:p>
    <w:bookmarkEnd w:id="35"/>
    <w:bookmarkStart w:id="37" w:name="ref-creweSedativeCopingContextual2024"/>
    <w:p>
      <w:pPr>
        <w:pStyle w:val="Bibliography"/>
      </w:pPr>
      <w:r>
        <w:t xml:space="preserve">Crewe, B. (2024).</w:t>
      </w:r>
      <w:r>
        <w:t xml:space="preserve"> </w:t>
      </w:r>
      <w:hyperlink r:id="rId36">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37"/>
    <w:bookmarkStart w:id="39" w:name="ref-creweSwimmingTideAdapting2017"/>
    <w:p>
      <w:pPr>
        <w:pStyle w:val="Bibliography"/>
      </w:pPr>
      <w:r>
        <w:t xml:space="preserve">Crewe, B., Hulley, S., &amp; Wright, S. (2016).</w:t>
      </w:r>
      <w:r>
        <w:t xml:space="preserve"> </w:t>
      </w:r>
      <w:hyperlink r:id="rId38">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9"/>
    <w:bookmarkStart w:id="40"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Springer Nature.</w:t>
      </w:r>
    </w:p>
    <w:bookmarkEnd w:id="40"/>
    <w:bookmarkStart w:id="42" w:name="ref-creweTightnessRecognitionPenal2021"/>
    <w:p>
      <w:pPr>
        <w:pStyle w:val="Bibliography"/>
      </w:pPr>
      <w:r>
        <w:t xml:space="preserve">Crewe, B., &amp; Ievins, A. (2020).</w:t>
      </w:r>
      <w:r>
        <w:t xml:space="preserve"> </w:t>
      </w:r>
      <w:hyperlink r:id="rId41">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2"/>
    <w:bookmarkStart w:id="4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43">
        <w:r>
          <w:rPr>
            <w:rStyle w:val="Hyperlink"/>
          </w:rPr>
          <w:t xml:space="preserve">10.1093/oso/9780195104295.001.0001</w:t>
        </w:r>
      </w:hyperlink>
    </w:p>
    <w:bookmarkEnd w:id="44"/>
    <w:bookmarkStart w:id="46" w:name="ref-duffRetrievingRetributivism2011"/>
    <w:p>
      <w:pPr>
        <w:pStyle w:val="Bibliography"/>
      </w:pPr>
      <w:r>
        <w:t xml:space="preserve">Duff, A. (2011).</w:t>
      </w:r>
      <w:r>
        <w:t xml:space="preserve"> </w:t>
      </w:r>
      <w:hyperlink r:id="rId45">
        <w:r>
          <w:rPr>
            <w:rStyle w:val="Hyperlink"/>
          </w:rPr>
          <w:t xml:space="preserve">Retrieving Retributivism</w:t>
        </w:r>
      </w:hyperlink>
      <w:r>
        <w:t xml:space="preserve">. In M. D. White, ed.,</w:t>
      </w:r>
      <w:r>
        <w:t xml:space="preserve"> </w:t>
      </w:r>
      <w:r>
        <w:rPr>
          <w:i/>
          <w:iCs/>
        </w:rPr>
        <w:t xml:space="preserve">Retributivism: essays on theory and policy</w:t>
      </w:r>
      <w:r>
        <w:t xml:space="preserve">, Oxford: Oxford University Press, pp. 3–24.</w:t>
      </w:r>
    </w:p>
    <w:bookmarkEnd w:id="46"/>
    <w:bookmarkStart w:id="47"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47"/>
    <w:bookmarkStart w:id="49"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48">
        <w:r>
          <w:rPr>
            <w:rStyle w:val="Hyperlink"/>
          </w:rPr>
          <w:t xml:space="preserve">https://muse.jhu.edu/pub/193/monograph/book/7801</w:t>
        </w:r>
      </w:hyperlink>
    </w:p>
    <w:bookmarkEnd w:id="49"/>
    <w:bookmarkStart w:id="51" w:name="ref-hamptonCorrectingHarmsRighting1991"/>
    <w:p>
      <w:pPr>
        <w:pStyle w:val="Bibliography"/>
      </w:pPr>
      <w:r>
        <w:t xml:space="preserve">Hampton, J. (1991).</w:t>
      </w:r>
      <w:r>
        <w:t xml:space="preserve"> </w:t>
      </w:r>
      <w:hyperlink r:id="rId50">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1"/>
    <w:bookmarkStart w:id="53"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52">
        <w:r>
          <w:rPr>
            <w:rStyle w:val="Hyperlink"/>
          </w:rPr>
          <w:t xml:space="preserve">https://www.justiceinspectorates.gov.uk/hmiprobation/wp-content/uploads/sites/5/2022/11/OMiC-joint-thematic-inspection-report-v1.0.pdf</w:t>
        </w:r>
      </w:hyperlink>
    </w:p>
    <w:bookmarkEnd w:id="53"/>
    <w:bookmarkStart w:id="55" w:name="X42d08177b6d0cf258638f2b74bced87fa6c2818"/>
    <w:p>
      <w:pPr>
        <w:pStyle w:val="Bibliography"/>
      </w:pPr>
      <w:r>
        <w:t xml:space="preserve">Hulley, S., Crewe, B., &amp; Wright, S. (2015).</w:t>
      </w:r>
      <w:r>
        <w:t xml:space="preserve"> </w:t>
      </w:r>
      <w:hyperlink r:id="rId54">
        <w:r>
          <w:rPr>
            <w:rStyle w:val="Hyperlink"/>
          </w:rPr>
          <w:t xml:space="preserve">Re-examining the Problems of Long-term Imprisonment</w:t>
        </w:r>
      </w:hyperlink>
      <w:r>
        <w:t xml:space="preserve">.</w:t>
      </w:r>
      <w:r>
        <w:t xml:space="preserve"> </w:t>
      </w:r>
      <w:r>
        <w:rPr>
          <w:i/>
          <w:iCs/>
        </w:rPr>
        <w:t xml:space="preserve">British Journal of Criminology</w:t>
      </w:r>
      <w:r>
        <w:t xml:space="preserve">,</w:t>
      </w:r>
      <w:r>
        <w:t xml:space="preserve"> </w:t>
      </w:r>
      <w:r>
        <w:rPr>
          <w:b/>
          <w:bCs/>
        </w:rPr>
        <w:t xml:space="preserve">56</w:t>
      </w:r>
      <w:r>
        <w:t xml:space="preserve">(4), 769–792.</w:t>
      </w:r>
    </w:p>
    <w:bookmarkEnd w:id="55"/>
    <w:bookmarkStart w:id="57" w:name="ref-jarmanOnlyOneWay2020"/>
    <w:p>
      <w:pPr>
        <w:pStyle w:val="Bibliography"/>
      </w:pPr>
      <w:r>
        <w:t xml:space="preserve">Jarman, B. (2020).</w:t>
      </w:r>
      <w:r>
        <w:t xml:space="preserve"> </w:t>
      </w:r>
      <w:hyperlink r:id="rId56">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57"/>
    <w:bookmarkStart w:id="59" w:name="ref-jarmanLifeImprisonmentMature2022"/>
    <w:p>
      <w:pPr>
        <w:pStyle w:val="Bibliography"/>
      </w:pPr>
      <w:r>
        <w:t xml:space="preserve">Jarman, B. (2022).</w:t>
      </w:r>
      <w:r>
        <w:t xml:space="preserve"> </w:t>
      </w:r>
      <w:hyperlink r:id="rId58">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59"/>
    <w:bookmarkStart w:id="61" w:name="ref-jarmanMoralMessagesEthical2024"/>
    <w:p>
      <w:pPr>
        <w:pStyle w:val="Bibliography"/>
      </w:pPr>
      <w:r>
        <w:t xml:space="preserve">Jarman, B. (2024, June 6).</w:t>
      </w:r>
      <w:r>
        <w:t xml:space="preserve"> </w:t>
      </w:r>
      <w:hyperlink r:id="rId60">
        <w:r>
          <w:rPr>
            <w:rStyle w:val="Hyperlink"/>
            <w:i/>
            <w:iCs/>
          </w:rPr>
          <w:t xml:space="preserve">Moral messages, ethical responses: Punishment and self-governance among men serving life sentences for murder</w:t>
        </w:r>
      </w:hyperlink>
      <w:r>
        <w:t xml:space="preserve"> </w:t>
      </w:r>
      <w:r>
        <w:t xml:space="preserve">(PhD), University of Cambridge, Cambridge.</w:t>
      </w:r>
    </w:p>
    <w:bookmarkEnd w:id="61"/>
    <w:bookmarkStart w:id="63" w:name="ref-lieblingPrisonSuicidePrisoner1999"/>
    <w:p>
      <w:pPr>
        <w:pStyle w:val="Bibliography"/>
      </w:pPr>
      <w:r>
        <w:t xml:space="preserve">Liebling, A. (1999).</w:t>
      </w:r>
      <w:r>
        <w:t xml:space="preserve"> </w:t>
      </w:r>
      <w:hyperlink r:id="rId62">
        <w:r>
          <w:rPr>
            <w:rStyle w:val="Hyperlink"/>
          </w:rPr>
          <w:t xml:space="preserve">Prison Suicide and Prisoner Coping</w:t>
        </w:r>
      </w:hyperlink>
      <w:r>
        <w:t xml:space="preserve">.</w:t>
      </w:r>
      <w:r>
        <w:t xml:space="preserve"> </w:t>
      </w:r>
      <w:r>
        <w:rPr>
          <w:i/>
          <w:iCs/>
        </w:rPr>
        <w:t xml:space="preserve">Crime and Justice</w:t>
      </w:r>
      <w:r>
        <w:t xml:space="preserve">,</w:t>
      </w:r>
      <w:r>
        <w:t xml:space="preserve"> </w:t>
      </w:r>
      <w:r>
        <w:rPr>
          <w:b/>
          <w:bCs/>
        </w:rPr>
        <w:t xml:space="preserve">26</w:t>
      </w:r>
      <w:r>
        <w:t xml:space="preserve">, 283–359.</w:t>
      </w:r>
    </w:p>
    <w:bookmarkEnd w:id="63"/>
    <w:bookmarkStart w:id="65" w:name="Xf692faf6327d56e6bb20574938a60f9d9f27a28"/>
    <w:p>
      <w:pPr>
        <w:pStyle w:val="Bibliography"/>
      </w:pPr>
      <w:r>
        <w:t xml:space="preserve">Liebling, A. (2015a).</w:t>
      </w:r>
      <w:r>
        <w:t xml:space="preserve"> </w:t>
      </w:r>
      <w:hyperlink r:id="rId64">
        <w:r>
          <w:rPr>
            <w:rStyle w:val="Hyperlink"/>
          </w:rPr>
          <w:t xml:space="preserve">Appreciative inquiry, generative theory, and the “failed state” prison</w:t>
        </w:r>
      </w:hyperlink>
      <w:r>
        <w:t xml:space="preserve">. In J. Miller &amp; W. R. Palacios, eds,</w:t>
      </w:r>
      <w:r>
        <w:t xml:space="preserve"> </w:t>
      </w:r>
      <w:r>
        <w:rPr>
          <w:i/>
          <w:iCs/>
        </w:rPr>
        <w:t xml:space="preserve">Qualitative Research in Criminology</w:t>
      </w:r>
      <w:r>
        <w:t xml:space="preserve">, New York: Routledge, pp. 251–270.</w:t>
      </w:r>
    </w:p>
    <w:bookmarkEnd w:id="65"/>
    <w:bookmarkStart w:id="67" w:name="ref-lieblingDescriptionEdgeIIt2015"/>
    <w:p>
      <w:pPr>
        <w:pStyle w:val="Bibliography"/>
      </w:pPr>
      <w:r>
        <w:t xml:space="preserve">Liebling, A. (2015b).</w:t>
      </w:r>
      <w:r>
        <w:t xml:space="preserve"> </w:t>
      </w:r>
      <w:hyperlink r:id="rId66">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7"/>
    <w:bookmarkStart w:id="69" w:name="ref-lieblingWhatPhilosophyPrison2021"/>
    <w:p>
      <w:pPr>
        <w:pStyle w:val="Bibliography"/>
      </w:pPr>
      <w:r>
        <w:t xml:space="preserve">Liebling, A. (2021).</w:t>
      </w:r>
      <w:r>
        <w:t xml:space="preserve"> </w:t>
      </w:r>
      <w:hyperlink r:id="rId68">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69"/>
    <w:bookmarkStart w:id="71"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0">
        <w:r>
          <w:rPr>
            <w:rStyle w:val="Hyperlink"/>
          </w:rPr>
          <w:t xml:space="preserve">https://assets.publishing.service.gov.uk/government/uploads/system/uploads/attachment_data/file/217381/staff-prisoner-relations-whitemoor.pdf</w:t>
        </w:r>
      </w:hyperlink>
    </w:p>
    <w:bookmarkEnd w:id="71"/>
    <w:bookmarkStart w:id="72" w:name="ref-ministryofjusticeFOIRequestISAS2014"/>
    <w:p>
      <w:pPr>
        <w:pStyle w:val="Bibliography"/>
      </w:pPr>
      <w:r>
        <w:t xml:space="preserve">Ministry of Justice. (2014). FOI request ISAS/FOI 89346, Freedom of Information response.</w:t>
      </w:r>
    </w:p>
    <w:bookmarkEnd w:id="72"/>
    <w:bookmarkStart w:id="74" w:name="X601988de8266726bc1376638298e8cb76ab984f"/>
    <w:p>
      <w:pPr>
        <w:pStyle w:val="Bibliography"/>
      </w:pPr>
      <w:r>
        <w:t xml:space="preserve">Ministry of Justice. (2025a).</w:t>
      </w:r>
      <w:r>
        <w:t xml:space="preserve"> </w:t>
      </w:r>
      <w:r>
        <w:rPr>
          <w:i/>
          <w:iCs/>
        </w:rPr>
        <w:t xml:space="preserve">Offender Management Statistics Quarterly: April to June 2025</w:t>
      </w:r>
      <w:r>
        <w:t xml:space="preserve">, London: Ministry of Justice. Retrieved from</w:t>
      </w:r>
      <w:r>
        <w:t xml:space="preserve"> </w:t>
      </w:r>
      <w:hyperlink r:id="rId73">
        <w:r>
          <w:rPr>
            <w:rStyle w:val="Hyperlink"/>
          </w:rPr>
          <w:t xml:space="preserve">https://www.gov.uk/government/statistics/offender-management-statistics-quarterly-april-to-june-2025/</w:t>
        </w:r>
      </w:hyperlink>
    </w:p>
    <w:bookmarkEnd w:id="74"/>
    <w:bookmarkStart w:id="76" w:name="Xc73ad580fbb9170a5a28cab9a86cf176ad7fdd9"/>
    <w:p>
      <w:pPr>
        <w:pStyle w:val="Bibliography"/>
      </w:pPr>
      <w:r>
        <w:t xml:space="preserve">Ministry of Justice. (2025b).</w:t>
      </w:r>
      <w:r>
        <w:t xml:space="preserve"> </w:t>
      </w:r>
      <w:r>
        <w:rPr>
          <w:i/>
          <w:iCs/>
        </w:rPr>
        <w:t xml:space="preserve">Offender management statistics quarterly: October to December 2024</w:t>
      </w:r>
      <w:r>
        <w:t xml:space="preserve">, London: Ministry of Justice. Retrieved from</w:t>
      </w:r>
      <w:r>
        <w:t xml:space="preserve"> </w:t>
      </w:r>
      <w:hyperlink r:id="rId75">
        <w:r>
          <w:rPr>
            <w:rStyle w:val="Hyperlink"/>
          </w:rPr>
          <w:t xml:space="preserve">https://www.gov.uk/government/statistics/offender-management-statistics-quarterly-october-to-december-2024</w:t>
        </w:r>
      </w:hyperlink>
    </w:p>
    <w:bookmarkEnd w:id="76"/>
    <w:bookmarkStart w:id="78"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77">
        <w:r>
          <w:rPr>
            <w:rStyle w:val="Hyperlink"/>
          </w:rPr>
          <w:t xml:space="preserve">https://www.gov.uk/government/publications/manage-the-custodial-sentence</w:t>
        </w:r>
      </w:hyperlink>
    </w:p>
    <w:bookmarkEnd w:id="78"/>
    <w:bookmarkStart w:id="80"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79">
        <w:r>
          <w:rPr>
            <w:rStyle w:val="Hyperlink"/>
          </w:rPr>
          <w:t xml:space="preserve">https://www.gov.uk/government/publications/prison-public-protection-policy-framework</w:t>
        </w:r>
      </w:hyperlink>
    </w:p>
    <w:bookmarkEnd w:id="80"/>
    <w:bookmarkStart w:id="82" w:name="ref-moorePlacingBlameTheory2010"/>
    <w:p>
      <w:pPr>
        <w:pStyle w:val="Bibliography"/>
      </w:pPr>
      <w:r>
        <w:t xml:space="preserve">Moore, M. S. (2010).</w:t>
      </w:r>
      <w:r>
        <w:t xml:space="preserve"> </w:t>
      </w:r>
      <w:r>
        <w:rPr>
          <w:i/>
          <w:iCs/>
        </w:rPr>
        <w:t xml:space="preserve">Placing blame: a theory of the criminal law</w:t>
      </w:r>
      <w:r>
        <w:t xml:space="preserve">, Oxford: Oxford University Press. doi:</w:t>
      </w:r>
      <w:hyperlink r:id="rId81">
        <w:r>
          <w:rPr>
            <w:rStyle w:val="Hyperlink"/>
          </w:rPr>
          <w:t xml:space="preserve">10.1093/acprof:oso/9780199599493.001.0001</w:t>
        </w:r>
      </w:hyperlink>
    </w:p>
    <w:bookmarkEnd w:id="82"/>
    <w:bookmarkStart w:id="83" w:name="ref-norrieRethinkingCriminalJustice2026"/>
    <w:p>
      <w:pPr>
        <w:pStyle w:val="Bibliography"/>
      </w:pPr>
      <w:r>
        <w:t xml:space="preserve">Norrie, A. (2026). Rethinking criminal justice practice: punishment, abolition, and moral psychology. In L. Zaibert, A. Liebling, &amp; B. Crewe, eds,</w:t>
      </w:r>
      <w:r>
        <w:t xml:space="preserve"> </w:t>
      </w:r>
      <w:r>
        <w:rPr>
          <w:i/>
          <w:iCs/>
        </w:rPr>
        <w:t xml:space="preserve">Do we punish too much? Punishment theory meets punishment practice</w:t>
      </w:r>
      <w:r>
        <w:t xml:space="preserve">, London: Hart.</w:t>
      </w:r>
    </w:p>
    <w:bookmarkEnd w:id="83"/>
    <w:bookmarkStart w:id="85" w:name="Xc65353c174e348821299cf177d95b0c423c7f2b"/>
    <w:p>
      <w:pPr>
        <w:pStyle w:val="Bibliography"/>
      </w:pPr>
      <w:r>
        <w:t xml:space="preserve">Office for National Statistics. (2025).</w:t>
      </w:r>
      <w:r>
        <w:t xml:space="preserve"> </w:t>
      </w:r>
      <w:r>
        <w:rPr>
          <w:i/>
          <w:iCs/>
        </w:rPr>
        <w:t xml:space="preserve">Homicide in England and Wales: year ending March 2024</w:t>
      </w:r>
      <w:r>
        <w:t xml:space="preserve">, London: Office for National Statistics. Retrieved from</w:t>
      </w:r>
      <w:r>
        <w:t xml:space="preserve"> </w:t>
      </w:r>
      <w:hyperlink r:id="rId84">
        <w:r>
          <w:rPr>
            <w:rStyle w:val="Hyperlink"/>
          </w:rPr>
          <w:t xml:space="preserve">https://www.ons.gov.uk/peoplepopulationandcommunity/crimeandjustice/articles/homicideinenglandandwales/yearendingmarch2024</w:t>
        </w:r>
      </w:hyperlink>
    </w:p>
    <w:bookmarkEnd w:id="85"/>
    <w:bookmarkStart w:id="87"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86">
        <w:r>
          <w:rPr>
            <w:rStyle w:val="Hyperlink"/>
          </w:rPr>
          <w:t xml:space="preserve">10.4324/9780203101124</w:t>
        </w:r>
      </w:hyperlink>
    </w:p>
    <w:bookmarkEnd w:id="87"/>
    <w:bookmarkStart w:id="89" w:name="ref-warrAlwaysGottaBe2020"/>
    <w:p>
      <w:pPr>
        <w:pStyle w:val="Bibliography"/>
      </w:pPr>
      <w:r>
        <w:t xml:space="preserve">Warr, J. (2019).</w:t>
      </w:r>
      <w:r>
        <w:t xml:space="preserve"> </w:t>
      </w:r>
      <w:hyperlink r:id="rId88">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89"/>
    <w:bookmarkStart w:id="91" w:name="ref-williamsPoliticsMoralCharacter1978"/>
    <w:p>
      <w:pPr>
        <w:pStyle w:val="Bibliography"/>
      </w:pPr>
      <w:r>
        <w:t xml:space="preserve">Williams, B. (1978).</w:t>
      </w:r>
      <w:r>
        <w:t xml:space="preserve"> </w:t>
      </w:r>
      <w:hyperlink r:id="rId90">
        <w:r>
          <w:rPr>
            <w:rStyle w:val="Hyperlink"/>
          </w:rPr>
          <w:t xml:space="preserve">Politics and moral character</w:t>
        </w:r>
      </w:hyperlink>
      <w:r>
        <w:t xml:space="preserve">. In S. Hampshire, ed.,</w:t>
      </w:r>
      <w:r>
        <w:t xml:space="preserve"> </w:t>
      </w:r>
      <w:r>
        <w:rPr>
          <w:i/>
          <w:iCs/>
        </w:rPr>
        <w:t xml:space="preserve">Public and private morality</w:t>
      </w:r>
      <w:r>
        <w:t xml:space="preserve">, Cambridge: Cambridge University Press, pp. 55–74.</w:t>
      </w:r>
    </w:p>
    <w:bookmarkEnd w:id="91"/>
    <w:bookmarkStart w:id="92"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2"/>
    <w:bookmarkStart w:id="94" w:name="ref-williamsMoralLuckPhilosophical1981"/>
    <w:p>
      <w:pPr>
        <w:pStyle w:val="Bibliography"/>
      </w:pPr>
      <w:r>
        <w:t xml:space="preserve">Williams, B. A. O. (1990).</w:t>
      </w:r>
      <w:r>
        <w:t xml:space="preserve"> </w:t>
      </w:r>
      <w:r>
        <w:rPr>
          <w:i/>
          <w:iCs/>
        </w:rPr>
        <w:t xml:space="preserve">Moral luck</w:t>
      </w:r>
      <w:r>
        <w:t xml:space="preserve">, Cambridge: Cambridge University Press. doi:</w:t>
      </w:r>
      <w:hyperlink r:id="rId93">
        <w:r>
          <w:rPr>
            <w:rStyle w:val="Hyperlink"/>
          </w:rPr>
          <w:t xml:space="preserve">10.1017/CBO9781139165860</w:t>
        </w:r>
      </w:hyperlink>
    </w:p>
    <w:bookmarkEnd w:id="94"/>
    <w:bookmarkStart w:id="96"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95">
        <w:r>
          <w:rPr>
            <w:rStyle w:val="Hyperlink"/>
          </w:rPr>
          <w:t xml:space="preserve">https://howardleague.org/wp-content/uploads/2024/09/Sentencing-inflation-a-judicial-critique__September-2024-1.pdf</w:t>
        </w:r>
      </w:hyperlink>
    </w:p>
    <w:bookmarkEnd w:id="96"/>
    <w:bookmarkStart w:id="98" w:name="Xd1aa781e2053eba6dcb2cbbfb606518f9d8515a"/>
    <w:p>
      <w:pPr>
        <w:pStyle w:val="Bibliography"/>
      </w:pPr>
      <w:r>
        <w:t xml:space="preserve">Wright, S., Crewe, B., &amp; Hulley, S. (2016).</w:t>
      </w:r>
      <w:r>
        <w:t xml:space="preserve"> </w:t>
      </w:r>
      <w:hyperlink r:id="rId97">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98"/>
    <w:bookmarkStart w:id="100" w:name="ref-zaibertRethinkingPunishment2018"/>
    <w:p>
      <w:pPr>
        <w:pStyle w:val="Bibliography"/>
      </w:pPr>
      <w:r>
        <w:t xml:space="preserve">Zaibert, L. (2018).</w:t>
      </w:r>
      <w:r>
        <w:t xml:space="preserve"> </w:t>
      </w:r>
      <w:r>
        <w:rPr>
          <w:i/>
          <w:iCs/>
        </w:rPr>
        <w:t xml:space="preserve">Rethinking punishment</w:t>
      </w:r>
      <w:r>
        <w:t xml:space="preserve">, 1st edn, Cambridge: Cambridge University Press. doi:</w:t>
      </w:r>
      <w:hyperlink r:id="rId99">
        <w:r>
          <w:rPr>
            <w:rStyle w:val="Hyperlink"/>
          </w:rPr>
          <w:t xml:space="preserve">10.1017/9781108151740</w:t>
        </w:r>
      </w:hyperlink>
    </w:p>
    <w:bookmarkEnd w:id="100"/>
    <w:bookmarkEnd w:id="101"/>
    <w:bookmarkEnd w:id="10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Hansard</w:t>
      </w:r>
      <w:r>
        <w:t xml:space="preserve">, HC Deb 20 May 2003 vol 405 c 867–8, 874</w:t>
      </w:r>
    </w:p>
  </w:footnote>
  <w:footnote w:id="12">
    <w:p>
      <w:pPr>
        <w:pStyle w:val="FootnoteText"/>
      </w:pPr>
      <w:r>
        <w:rPr>
          <w:rStyle w:val="FootnoteReference"/>
        </w:rPr>
        <w:footnoteRef/>
      </w:r>
      <w:r>
        <w:t xml:space="preserve"> </w:t>
      </w:r>
      <w:r>
        <w:t xml:space="preserve">In this chapter, we use</w:t>
      </w:r>
      <w:r>
        <w:t xml:space="preserve"> </w:t>
      </w:r>
      <w:r>
        <w:t xml:space="preserve">‘early’</w:t>
      </w:r>
      <w:r>
        <w:t xml:space="preserve">,</w:t>
      </w:r>
      <w:r>
        <w:t xml:space="preserve"> </w:t>
      </w:r>
      <w:r>
        <w:t xml:space="preserve">‘mid’</w:t>
      </w:r>
      <w:r>
        <w:t xml:space="preserve">, and</w:t>
      </w:r>
      <w:r>
        <w:t xml:space="preserve"> </w:t>
      </w:r>
      <w:r>
        <w:t xml:space="preserve">‘late’</w:t>
      </w:r>
      <w:r>
        <w:t xml:space="preserve"> </w:t>
      </w:r>
      <w:r>
        <w:t xml:space="preserve">in a technical sense, to refer to the first, middle, and last thirds of the minimum term of imprisonment;</w:t>
      </w:r>
      <w:r>
        <w:t xml:space="preserve"> </w:t>
      </w:r>
      <w:r>
        <w:t xml:space="preserve">‘post-tariff’</w:t>
      </w:r>
      <w:r>
        <w:t xml:space="preserve"> </w:t>
      </w:r>
      <w:r>
        <w:t xml:space="preserve">refers to the time after its has expired.</w:t>
      </w:r>
    </w:p>
  </w:footnote>
  <w:footnote w:id="13">
    <w:p>
      <w:pPr>
        <w:pStyle w:val="FootnoteText"/>
      </w:pPr>
      <w:r>
        <w:rPr>
          <w:rStyle w:val="FootnoteReference"/>
        </w:rPr>
        <w:footnoteRef/>
      </w:r>
      <w:r>
        <w:t xml:space="preserve"> </w:t>
      </w:r>
      <w:r>
        <w:t xml:space="preserve">All names provided here are pseudonyms. We also include details of the age and sentence stage of quoted individuals, with the latter defined as per the preceding footnote.</w:t>
      </w:r>
    </w:p>
  </w:footnote>
  <w:footnote w:id="1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16">
    <w:p>
      <w:pPr>
        <w:pStyle w:val="FootnoteText"/>
      </w:pPr>
      <w:r>
        <w:rPr>
          <w:rStyle w:val="FootnoteReference"/>
        </w:rPr>
        <w:footnoteRef/>
      </w:r>
      <w:r>
        <w:t xml:space="preserve"> </w:t>
      </w:r>
      <w:r>
        <w:t xml:space="preserve">A third group comprised individuals convicted under Joint Enterprise, who felt – not unwarrantedly – that their convictions or sentences were illegitimate.</w:t>
      </w:r>
    </w:p>
  </w:footnote>
  <w:footnote w:id="1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20">
    <w:p>
      <w:pPr>
        <w:pStyle w:val="FootnoteText"/>
      </w:pPr>
      <w:r>
        <w:rPr>
          <w:rStyle w:val="FootnoteReference"/>
        </w:rPr>
        <w:footnoteRef/>
      </w:r>
      <w:r>
        <w:t xml:space="preserve"> </w:t>
      </w:r>
      <w:r>
        <w:t xml:space="preserve">A discontinued offending behaviour programme which facilitated face-to-face encounters between perpetrators and victims of violence.</w:t>
      </w:r>
    </w:p>
  </w:footnote>
  <w:footnote w:id="2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23">
    <w:p>
      <w:pPr>
        <w:pStyle w:val="FootnoteText"/>
      </w:pPr>
      <w:r>
        <w:rPr>
          <w:rStyle w:val="FootnoteReference"/>
        </w:rPr>
        <w:footnoteRef/>
      </w:r>
      <w:r>
        <w:t xml:space="preserve"> </w:t>
      </w:r>
      <w:r>
        <w:t xml:space="preserve">An offending behaviour programme.</w:t>
      </w:r>
    </w:p>
  </w:footnote>
  <w:footnote w:id="24">
    <w:p>
      <w:pPr>
        <w:pStyle w:val="FootnoteText"/>
      </w:pPr>
      <w:r>
        <w:rPr>
          <w:rStyle w:val="FootnoteReference"/>
        </w:rPr>
        <w:footnoteRef/>
      </w:r>
      <w:r>
        <w:t xml:space="preserve"> </w:t>
      </w:r>
      <w:r>
        <w:t xml:space="preserve">A therapeutic prison.</w:t>
      </w:r>
    </w:p>
  </w:footnote>
  <w:footnote w:id="26">
    <w:p>
      <w:pPr>
        <w:pStyle w:val="FootnoteText"/>
      </w:pPr>
      <w:r>
        <w:rPr>
          <w:rStyle w:val="FootnoteReference"/>
        </w:rPr>
        <w:footnoteRef/>
      </w:r>
      <w:r>
        <w:t xml:space="preserve"> </w:t>
      </w:r>
      <w:r>
        <w:t xml:space="preserve">A shared meal prepared using pooled canteen purchases.</w:t>
      </w:r>
    </w:p>
  </w:footnote>
  <w:footnote w:id="29">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30">
    <w:p>
      <w:pPr>
        <w:pStyle w:val="FootnoteText"/>
      </w:pPr>
      <w:r>
        <w:rPr>
          <w:rStyle w:val="FootnoteReference"/>
        </w:rPr>
        <w:footnoteRef/>
      </w:r>
      <w:r>
        <w:t xml:space="preserve"> </w:t>
      </w:r>
      <w:r>
        <w:t xml:space="preserve">Wilfred Owen,</w:t>
      </w:r>
      <w:r>
        <w:t xml:space="preserve"> </w:t>
      </w:r>
      <w:r>
        <w:t xml:space="preserve">‘Insensibility’</w:t>
      </w:r>
      <w:r>
        <w:t xml:space="preserve">; independently from Zaibert, one of us (BC) cited the same poem in an article which first elaborated the concept of</w:t>
      </w:r>
      <w:r>
        <w:t xml:space="preserve"> </w:t>
      </w:r>
      <w:r>
        <w:t xml:space="preserve">‘sedative coping’</w:t>
      </w:r>
      <w:r>
        <w:t xml:space="preserve"> </w:t>
      </w:r>
      <w:r>
        <w:t xml:space="preserve">which we expand here</w:t>
      </w:r>
      <w:r>
        <w:t xml:space="preserve"> </w:t>
      </w:r>
      <w:r>
        <w:t xml:space="preserve">(</w:t>
      </w:r>
      <w:hyperlink w:anchor="ref-creweSedativeCopingContextual2024">
        <w:r>
          <w:rPr>
            <w:rStyle w:val="Hyperlink"/>
          </w:rPr>
          <w:t xml:space="preserve">Crewe 2024 pp. 1094–95</w:t>
        </w:r>
      </w:hyperlink>
      <w:r>
        <w:t xml:space="preserve">)</w:t>
      </w:r>
      <w:r>
        <w:t xml:space="preserve">.</w:t>
      </w:r>
    </w:p>
  </w:footnote>
  <w:footnote w:id="31">
    <w:p>
      <w:pPr>
        <w:pStyle w:val="FootnoteText"/>
      </w:pPr>
      <w:r>
        <w:rPr>
          <w:rStyle w:val="FootnoteReference"/>
        </w:rPr>
        <w:footnoteRef/>
      </w:r>
      <w:r>
        <w:t xml:space="preserve"> </w:t>
      </w:r>
      <w:r>
        <w:t xml:space="preserve">Zaibert’s concept of</w:t>
      </w:r>
      <w:r>
        <w:t xml:space="preserve"> </w:t>
      </w:r>
      <w:r>
        <w:t xml:space="preserve">‘remainders’</w:t>
      </w:r>
      <w:r>
        <w:t xml:space="preserve"> </w:t>
      </w:r>
      <w:r>
        <w:t xml:space="preserve">originates in an essay by Williams</w:t>
      </w:r>
      <w:r>
        <w:t xml:space="preserve"> </w:t>
      </w:r>
      <w:r>
        <w:t xml:space="preserve">(</w:t>
      </w:r>
      <w:hyperlink w:anchor="ref-williamsPoliticsMoralCharacter1978">
        <w:r>
          <w:rPr>
            <w:rStyle w:val="Hyperlink"/>
          </w:rPr>
          <w:t xml:space="preserve">1978</w:t>
        </w:r>
      </w:hyperlink>
      <w:r>
        <w:t xml:space="preserve">)</w:t>
      </w:r>
      <w:r>
        <w:t xml:space="preserve"> </w:t>
      </w:r>
      <w:r>
        <w:t xml:space="preserve">on the moral compromises inherent in public life, which identifies ’remainders” as the persistent moral discomfort or regret that can arise even from justified actions. Such feelings are often prompted by conflicts between rights and consequences, or by the tragic impossibility of reconciling contradictory moral values.</w:t>
      </w:r>
    </w:p>
  </w:footnote>
  <w:footnote w:id="32">
    <w:p>
      <w:pPr>
        <w:pStyle w:val="FootnoteText"/>
      </w:pPr>
      <w:r>
        <w:rPr>
          <w:rStyle w:val="FootnoteReference"/>
        </w:rPr>
        <w:footnoteRef/>
      </w:r>
      <w:r>
        <w:t xml:space="preserve"> </w:t>
      </w:r>
      <w:r>
        <w:t xml:space="preserve">Also coined by Williams</w:t>
      </w:r>
      <w:r>
        <w:t xml:space="preserve"> </w:t>
      </w:r>
      <w:r>
        <w:t xml:space="preserve">(</w:t>
      </w:r>
      <w:hyperlink w:anchor="ref-williamsMoralLuckPhilosophical1981">
        <w:r>
          <w:rPr>
            <w:rStyle w:val="Hyperlink"/>
          </w:rPr>
          <w:t xml:space="preserve">1990</w:t>
        </w:r>
      </w:hyperlink>
      <w:r>
        <w:t xml:space="preserve">)</w:t>
      </w:r>
      <w:r>
        <w:t xml:space="preserve"> </w:t>
      </w:r>
      <w:r>
        <w:t xml:space="preserve">in his classic work on moral luck,</w:t>
      </w:r>
      <w:r>
        <w:t xml:space="preserve"> </w:t>
      </w:r>
      <w:r>
        <w:t xml:space="preserve">‘agent regret’</w:t>
      </w:r>
      <w:r>
        <w:t xml:space="preserve"> </w:t>
      </w:r>
      <w:r>
        <w:t xml:space="preserve">classifies the kind of regret a person might experience after causing harm without having done wrong. He offers the thought experiment of a lorry driver whose vehicle strikes a child who has darted into the road, and suggests that a driver who did not experience persistent feelings of regret might lack fully-developed moral sensibilities, even if to have prevented the collision would have been impossible. For Williams, such feelings are distinct from the regret one might experience on witnessing or learning about sad events at second or third-hand.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_rels/footnotes.xml.rels><?xml version="1.0" encoding="UTF-8"?><Relationships xmlns="http://schemas.openxmlformats.org/package/2006/relationships"><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2026-04-10T21:26:54Z</dcterms:created>
  <dcterms:modified xsi:type="dcterms:W3CDTF">2026-04-10T21:26:54Z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https://eprints.soton.ac.uk/id/eprint/507475</vt:lpwstr>
  </property>
</Properties>
</file>