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Author"/>
      </w:pPr>
      <w:r>
        <w:t xml:space="preserve">Ben Jarman</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13"/>
    <w:bookmarkStart w:id="14"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14"/>
    <w:bookmarkStart w:id="17"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 ‘child abuse’, ‘safeguarding’ and ‘child protection’, which have all acquired something like their current meanings only quite recently.</w:t>
      </w:r>
    </w:p>
    <w:bookmarkStart w:id="15" w:name="terminology-relating-to-child-abuse"/>
    <w:p>
      <w:pPr>
        <w:pStyle w:val="Heading2"/>
      </w:pPr>
      <w:r>
        <w:t xml:space="preserve">Terminology relating to ‘child abuse’</w:t>
      </w:r>
    </w:p>
    <w:p>
      <w:pPr>
        <w:pStyle w:val="FirstParagraph"/>
      </w:pPr>
      <w:r>
        <w:t xml:space="preserve">The concept of ‘child abuse’ has shifted significantly since the 1960s. As this quote from Ian Hacking makes clear, this is partly a question of how the problem has been defined.</w:t>
      </w:r>
    </w:p>
    <w:bookmarkEnd w:id="15"/>
    <w:bookmarkStart w:id="16"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16"/>
    <w:bookmarkEnd w:id="17"/>
    <w:bookmarkStart w:id="18" w:name="X08245971cf330eec2c19e4ba740e08419ced9a1"/>
    <w:p>
      <w:pPr>
        <w:pStyle w:val="Heading1"/>
      </w:pPr>
      <w:r>
        <w:t xml:space="preserve">‘Child abuse’ terminology in the Prison Service</w:t>
      </w:r>
    </w:p>
    <w:p>
      <w:pPr>
        <w:pStyle w:val="FirstParagraph"/>
      </w:pPr>
      <w:r>
        <w:t xml:space="preserve">These questions of definition matter very much, because in a closed institution like a prison they determine what gets categorised as ‘abuse’ or a ‘child protection issue’,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 ‘child protection issues’ 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18"/>
    <w:bookmarkStart w:id="19"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 ‘establishments of interest’.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 ‘abuse’. With respect to a prison environment, this is quite a broad definition.</w:t>
      </w:r>
    </w:p>
    <w:bookmarkEnd w:id="19"/>
    <w:bookmarkStart w:id="20"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20"/>
    <w:bookmarkStart w:id="21"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21"/>
    <w:bookmarkStart w:id="22"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22"/>
    <w:bookmarkStart w:id="23"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23"/>
    <w:bookmarkStart w:id="24"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 ‘child protection’ discourse that problematised what had previously, presumably, been completely unquestioned and taken for granted.</w:t>
      </w:r>
    </w:p>
    <w:p>
      <w:pPr>
        <w:pStyle w:val="BodyText"/>
      </w:pPr>
      <w:r>
        <w:t xml:space="preserve">I said ‘almost silent’.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24"/>
    <w:bookmarkStart w:id="25"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 ‘in confidence’.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 ‘where nothing of any import ever occurs’ and which is ‘unlikely to cause any problems’.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 ‘grooming’ has not yet entered their lexicon, so they are unable to see this for what it is.</w:t>
      </w:r>
    </w:p>
    <w:p>
      <w:pPr>
        <w:pStyle w:val="BodyText"/>
      </w:pPr>
      <w:r>
        <w:t xml:space="preserve">So my argument here is one about how we can use hindsight. This isn’t about combing the archive for ‘gotchas’; it’s about proving the point that archival silences may well indicate risks that were overlooked.</w:t>
      </w:r>
    </w:p>
    <w:bookmarkEnd w:id="25"/>
    <w:bookmarkStart w:id="26"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 ‘from below’. It’s as close as we found to a direct record of detainees’ lived experience.</w:t>
      </w:r>
    </w:p>
    <w:p>
      <w:pPr>
        <w:pStyle w:val="BodyText"/>
      </w:pPr>
      <w:r>
        <w:t xml:space="preserve">Ericson records that officers at Whatton sometimes used violence themselves, but mostly allowed high-status inmates (nicknamed ‘daddies’) to keep order using violence and kangaroo courts. ‘Daddies’ 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 ‘divs’) were subjected to violence, and sexualised forms of bullying, led by the ‘daddies’ if they complained or showed signs of distress. Today, this might be called ‘peer abuse’. In 1973, it was done with staff approval. Ericson quotes a discharge report, written by a Senior Officer about one ‘div’.</w:t>
      </w:r>
    </w:p>
    <w:bookmarkEnd w:id="26"/>
    <w:bookmarkStart w:id="27"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 ‘proper men’ 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27"/>
    <w:bookmarkStart w:id="28"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 ‘good’.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 ‘bad things happened, but that was then, this is now, and lessons have been learned’ – the questions we need to ask are second-order ones, about power and the limits of governance.</w:t>
      </w:r>
    </w:p>
    <w:bookmarkEnd w:id="28"/>
    <w:bookmarkStart w:id="34"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33" w:name="refs"/>
    <w:bookmarkStart w:id="30" w:name="ref-burtonIntroductionArchiveFever2006"/>
    <w:p>
      <w:pPr>
        <w:pStyle w:val="Bibliography"/>
      </w:pPr>
      <w:r>
        <w:t xml:space="preserve">Burton, A. (2006).</w:t>
      </w:r>
      <w:r>
        <w:t xml:space="preserve"> </w:t>
      </w:r>
      <w:hyperlink r:id="rId29">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30"/>
    <w:bookmarkStart w:id="32" w:name="ref-rockDreadfulFloodDocuments2017"/>
    <w:p>
      <w:pPr>
        <w:pStyle w:val="Bibliography"/>
      </w:pPr>
      <w:r>
        <w:t xml:space="preserve">Rock, P. (2017).</w:t>
      </w:r>
      <w:r>
        <w:t xml:space="preserve"> </w:t>
      </w:r>
      <w:hyperlink r:id="rId31">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32"/>
    <w:bookmarkEnd w:id="33"/>
    <w:bookmarkEnd w:id="3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Ben Jarman</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2026-04-10T21:26:58Z</dcterms:created>
  <dcterms:modified xsi:type="dcterms:W3CDTF">2026-04-10T21:26:58Z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jarmanTracingHistoryChild2019.bib</vt:lpwstr>
  </property>
  <property fmtid="{D5CDD505-2E9C-101B-9397-08002B2CF9AE}" pid="7" name="by-affiliation">
    <vt:lpwstr/>
  </property>
  <property fmtid="{D5CDD505-2E9C-101B-9397-08002B2CF9AE}" pid="8" name="by-author">
    <vt:lpwstr/>
  </property>
  <property fmtid="{D5CDD505-2E9C-101B-9397-08002B2CF9AE}" pid="9" name="categories">
    <vt:lpwstr>conference paper</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2019-05-22</vt:lpwstr>
  </property>
  <property fmtid="{D5CDD505-2E9C-101B-9397-08002B2CF9AE}" pid="15" name="date-format">
    <vt:lpwstr>iso</vt:lpwstr>
  </property>
  <property fmtid="{D5CDD505-2E9C-101B-9397-08002B2CF9AE}" pid="16" name="doi">
    <vt:lpwstr>10.17863/CAM.40463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Does the archive offer current practitioners anything, beyond useless knowledge after the fact?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https://www.repository.cam.ac.uk/handle/1810/322528</vt:lpwstr>
  </property>
</Properties>
</file>