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w:t>
      </w:r>
      <w:r>
        <w:t xml:space="preserve"> </w:t>
      </w:r>
      <w:r>
        <w:t xml:space="preserve">‘safeguarding’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21" w:name="availablity"/>
    <w:p>
      <w:pPr>
        <w:pStyle w:val="Heading1"/>
      </w:pPr>
      <w:r>
        <w:t xml:space="preserve">Availablity</w:t>
      </w:r>
    </w:p>
    <w:p>
      <w:pPr>
        <w:pStyle w:val="FirstParagraph"/>
      </w:pPr>
      <w:r>
        <w:t xml:space="preserve">Paper text and slides available via</w:t>
      </w:r>
      <w:r>
        <w:t xml:space="preserve"> </w:t>
      </w:r>
      <w:hyperlink r:id="rId20">
        <w:r>
          <w:rPr>
            <w:rStyle w:val="Hyperlink"/>
          </w:rPr>
          <w:t xml:space="preserve">https://www.repository.cam.ac.uk/handle/1810/291976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2025-11-18T09:45:18Z</dcterms:created>
  <dcterms:modified xsi:type="dcterms:W3CDTF">2025-11-18T09:45:18Z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Children in the secure estate, 1960-2016</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https://www.repository.cam.ac.uk/handle/1810/291976</vt:lpwstr>
  </property>
</Properties>
</file>