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Author"/>
      </w:pPr>
      <w:r>
        <w:t xml:space="preserve">Ben Jarman</w:t>
      </w:r>
    </w:p>
    <w:p>
      <w:pPr>
        <w:pStyle w:val="Author"/>
      </w:pPr>
      <w:r>
        <w:t xml:space="preserve">Catherine Heard</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w:t>
      </w:r>
      <w:r>
        <w:t xml:space="preserve"> </w:t>
      </w:r>
      <w:r>
        <w:t xml:space="preserve">‘Unlocking potential: towards effective, sustainable, and ethical provision of work opportunities for prisoners and prison leavers’</w:t>
      </w:r>
      <w:r>
        <w:t xml:space="preserve">.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Ben Jarman; Catherine Heard</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2025-11-18T09:45:34Z</dcterms:created>
  <dcterms:modified xsi:type="dcterms:W3CDTF">2025-11-18T09:45:34Z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jarmanLabouringBarsAssessing2023.bib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2023-11-09</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Assessing international law on working prisoners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https://eprints.bbk.ac.uk/id/eprint/53263/</vt:lpwstr>
  </property>
</Properties>
</file>