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Author"/>
      </w:pPr>
      <w:r>
        <w:t xml:space="preserve">Ben Jarman</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23">
              <w:r>
                <w:rPr>
                  <w:rStyle w:val="Hyperlink"/>
                </w:rPr>
                <w:t xml:space="preserve">here</w:t>
              </w:r>
            </w:hyperlink>
            <w:r>
              <w:t xml:space="preserve">.</w:t>
            </w:r>
          </w:p>
          <w:p/>
        </w:tc>
      </w:tr>
    </w:tbl>
    <w:bookmarkStart w:id="24"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w:t>
      </w:r>
      <w:r>
        <w:t xml:space="preserve"> </w:t>
      </w:r>
      <w:r>
        <w:t xml:space="preserve">‘most’</w:t>
      </w:r>
      <w:r>
        <w:t xml:space="preserve">,</w:t>
      </w:r>
      <w:r>
        <w:t xml:space="preserve"> </w:t>
      </w:r>
      <w:r>
        <w:t xml:space="preserve">‘some’</w:t>
      </w:r>
      <w:r>
        <w:t xml:space="preserve">, and</w:t>
      </w:r>
      <w:r>
        <w:t xml:space="preserve"> </w:t>
      </w:r>
      <w:r>
        <w:t xml:space="preserve">‘few’</w:t>
      </w:r>
      <w:r>
        <w:t xml:space="preserve"> </w:t>
      </w:r>
      <w:r>
        <w:t xml:space="preserve">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w:t>
      </w:r>
      <w:r>
        <w:t xml:space="preserve"> </w:t>
      </w:r>
      <w:r>
        <w:t xml:space="preserve">‘areas for inquiry’</w:t>
      </w:r>
      <w:r>
        <w:t xml:space="preserve"> </w:t>
      </w:r>
      <w:r>
        <w:t xml:space="preserve">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w:t>
      </w:r>
      <w:r>
        <w:t xml:space="preserve"> </w:t>
      </w:r>
      <w:r>
        <w:t xml:space="preserve">‘worm’s eye’</w:t>
      </w:r>
      <w:r>
        <w:t xml:space="preserve"> </w:t>
      </w:r>
      <w:r>
        <w:t xml:space="preserve">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24"/>
    <w:bookmarkStart w:id="41"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25"/>
      </w:r>
      <w:r>
        <w:t xml:space="preserve"> </w:t>
      </w:r>
      <w:r>
        <w:t xml:space="preserve">To convict a defendant (D) of murder, juries need only be satisfied that a) D’s actions caused the death of another person, and b) that D intended to cause the victim</w:t>
      </w:r>
      <w:r>
        <w:t xml:space="preserve"> </w:t>
      </w:r>
      <w:r>
        <w:t xml:space="preserve">‘really serious harm’</w:t>
      </w:r>
      <w:r>
        <w:t xml:space="preserve">.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w:t>
      </w:r>
      <w:r>
        <w:t xml:space="preserve"> </w:t>
      </w:r>
      <w:r>
        <w:t xml:space="preserve">‘degree’</w:t>
      </w:r>
      <w:r>
        <w:t xml:space="preserve"> </w:t>
      </w:r>
      <w:r>
        <w:t xml:space="preserve">of murder, and one possible sentence, means that murder sentences are relatively even and can be adjusted to fit the</w:t>
      </w:r>
      <w:r>
        <w:t xml:space="preserve"> </w:t>
      </w:r>
      <w:r>
        <w:t xml:space="preserve">‘seriousness’</w:t>
      </w:r>
      <w:r>
        <w:t xml:space="preserve"> </w:t>
      </w:r>
      <w:r>
        <w:t xml:space="preserve">of the crime only by adjusting the length of the minimum period to be spent in custody.</w:t>
      </w:r>
    </w:p>
    <w:p>
      <w:pPr>
        <w:numPr>
          <w:ilvl w:val="0"/>
          <w:numId w:val="1004"/>
        </w:numPr>
      </w:pPr>
      <w:r>
        <w:t xml:space="preserve">All life sentences (whether mandatory or discretionary) include a</w:t>
      </w:r>
      <w:r>
        <w:t xml:space="preserve"> </w:t>
      </w:r>
      <w:r>
        <w:t xml:space="preserve">‘tariff’</w:t>
      </w:r>
      <w:r>
        <w:t xml:space="preserve"> </w:t>
      </w:r>
      <w:r>
        <w:t xml:space="preserve">or</w:t>
      </w:r>
      <w:r>
        <w:t xml:space="preserve"> </w:t>
      </w:r>
      <w:r>
        <w:t xml:space="preserve">‘minimum term’</w:t>
      </w:r>
      <w:r>
        <w:t xml:space="preserve"> </w:t>
      </w:r>
      <w:r>
        <w:t xml:space="preserve">of imprisonment. I use these terms—which respectively have legal and colloquial origins—interchangeably. The minimum term represents the retributive</w:t>
      </w:r>
      <w:r>
        <w:t xml:space="preserve"> </w:t>
      </w:r>
      <w:r>
        <w:t xml:space="preserve">‘price’</w:t>
      </w:r>
      <w:r>
        <w:t xml:space="preserve"> </w:t>
      </w:r>
      <w:r>
        <w:t xml:space="preserve">to be paid for the crime. Its length is determined by reference to the</w:t>
      </w:r>
      <w:r>
        <w:t xml:space="preserve"> </w:t>
      </w:r>
      <w:r>
        <w:t xml:space="preserve">‘seriousness’</w:t>
      </w:r>
      <w:r>
        <w:t xml:space="preserve"> </w:t>
      </w:r>
      <w:r>
        <w:t xml:space="preserve">of the offence, based on its harmfulness and the degree of culpability. Culpability is inferred from the known facts of the offence, translated into factors which mitigate or aggravate the</w:t>
      </w:r>
      <w:r>
        <w:t xml:space="preserve"> </w:t>
      </w:r>
      <w:r>
        <w:t xml:space="preserve">‘seriousness’</w:t>
      </w:r>
      <w:r>
        <w:t xml:space="preserve"> </w:t>
      </w:r>
      <w:r>
        <w:t xml:space="preserve">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26"/>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w:t>
      </w:r>
      <w:r>
        <w:t xml:space="preserve"> </w:t>
      </w:r>
      <w:r>
        <w:t xml:space="preserve">‘starting point’</w:t>
      </w:r>
      <w:r>
        <w:t xml:space="preserve"> </w:t>
      </w:r>
      <w:r>
        <w:t xml:space="preserve">(in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27"/>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28"/>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29"/>
      </w:r>
    </w:p>
    <w:p>
      <w:pPr>
        <w:numPr>
          <w:ilvl w:val="0"/>
          <w:numId w:val="1004"/>
        </w:numPr>
      </w:pPr>
      <w:r>
        <w:t xml:space="preserve">This shift—whereby consequential decisions affecting liberty are taken both at the</w:t>
      </w:r>
      <w:r>
        <w:t xml:space="preserve"> </w:t>
      </w:r>
      <w:r>
        <w:t xml:space="preserve">‘back door’</w:t>
      </w:r>
      <w:r>
        <w:t xml:space="preserve"> </w:t>
      </w:r>
      <w:r>
        <w:t xml:space="preserve">and at the</w:t>
      </w:r>
      <w:r>
        <w:t xml:space="preserve"> </w:t>
      </w:r>
      <w:r>
        <w:t xml:space="preserve">‘front door’</w:t>
      </w:r>
      <w:r>
        <w:t xml:space="preserve"> </w:t>
      </w:r>
      <w:r>
        <w:t xml:space="preserve">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30"/>
      </w:r>
      <w:r>
        <w:t xml:space="preserve"> </w:t>
      </w:r>
      <w:r>
        <w:t xml:space="preserve">For comparison, on 30 September 2020, a total of 6,945 life-sentenced prisoners were in prison.</w:t>
      </w:r>
      <w:r>
        <w:rPr>
          <w:rStyle w:val="FootnoteReference"/>
        </w:rPr>
        <w:footnoteReference w:id="31"/>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32"/>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33"/>
      </w:r>
      <w:r>
        <w:t xml:space="preserve"> </w:t>
      </w:r>
      <w:r>
        <w:t xml:space="preserve">often describe life sentences as being divided into two (or sometimes three)</w:t>
      </w:r>
      <w:r>
        <w:t xml:space="preserve"> </w:t>
      </w:r>
      <w:r>
        <w:t xml:space="preserve">‘phases’</w:t>
      </w:r>
      <w:r>
        <w:t xml:space="preserve">, during which restrictions on liberty vary and have different legal justifications:</w:t>
      </w:r>
    </w:p>
    <w:p>
      <w:pPr>
        <w:numPr>
          <w:ilvl w:val="1"/>
          <w:numId w:val="1008"/>
        </w:numPr>
      </w:pPr>
      <w:r>
        <w:t xml:space="preserve">a</w:t>
      </w:r>
      <w:r>
        <w:t xml:space="preserve"> </w:t>
      </w:r>
      <w:r>
        <w:t xml:space="preserve">‘penalty phase’</w:t>
      </w:r>
      <w:r>
        <w:t xml:space="preserve"> </w:t>
      </w:r>
      <w:r>
        <w:t xml:space="preserve">of definite length, during which the prisoner is serving a minimum term of imprisonment imposed as retributive punishment;</w:t>
      </w:r>
    </w:p>
    <w:p>
      <w:pPr>
        <w:numPr>
          <w:ilvl w:val="1"/>
          <w:numId w:val="1008"/>
        </w:numPr>
      </w:pPr>
      <w:r>
        <w:t xml:space="preserve">an</w:t>
      </w:r>
      <w:r>
        <w:t xml:space="preserve"> </w:t>
      </w:r>
      <w:r>
        <w:t xml:space="preserve">‘incapacitative phase’</w:t>
      </w:r>
      <w:r>
        <w:t xml:space="preserve"> </w:t>
      </w:r>
      <w:r>
        <w:t xml:space="preserve">of indefinite length, during which the prisoner is imprisoned to protect the public, but coming regularly before the Parole Board;</w:t>
      </w:r>
    </w:p>
    <w:p>
      <w:pPr>
        <w:numPr>
          <w:ilvl w:val="1"/>
          <w:numId w:val="1008"/>
        </w:numPr>
      </w:pPr>
      <w:r>
        <w:t xml:space="preserve">a lifelong, and conditional,</w:t>
      </w:r>
      <w:r>
        <w:t xml:space="preserve"> </w:t>
      </w:r>
      <w:r>
        <w:t xml:space="preserve">‘supervised release’</w:t>
      </w:r>
      <w:r>
        <w:t xml:space="preserve"> </w:t>
      </w:r>
      <w:r>
        <w:t xml:space="preserve">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34"/>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35"/>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w:t>
      </w:r>
      <w:r>
        <w:t xml:space="preserve"> </w:t>
      </w:r>
      <w:r>
        <w:t xml:space="preserve">‘reformative’</w:t>
      </w:r>
      <w:r>
        <w:t xml:space="preser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w:t>
      </w:r>
      <w:r>
        <w:t xml:space="preserve"> </w:t>
      </w:r>
      <w:r>
        <w:t xml:space="preserve">‘reform’</w:t>
      </w:r>
      <w:r>
        <w:t xml:space="preserve"> </w:t>
      </w:r>
      <w:r>
        <w:t xml:space="preserve">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w:t>
      </w:r>
      <w:r>
        <w:t xml:space="preserve"> </w:t>
      </w:r>
      <w:r>
        <w:t xml:space="preserve">‘deficits’</w:t>
      </w:r>
      <w:r>
        <w:t xml:space="preserve"> </w:t>
      </w:r>
      <w:r>
        <w:t xml:space="preserve">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w:t>
      </w:r>
      <w:r>
        <w:t xml:space="preserve"> </w:t>
      </w:r>
      <w:r>
        <w:t xml:space="preserve">‘work on themselves’</w:t>
      </w:r>
      <w:r>
        <w:t xml:space="preserve"> </w:t>
      </w:r>
      <w:r>
        <w:t xml:space="preserve">(e.g.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w:t>
      </w:r>
      <w:r>
        <w:t xml:space="preserve"> </w:t>
      </w:r>
      <w:r>
        <w:t xml:space="preserve">‘reformed’</w:t>
      </w:r>
      <w:r>
        <w:t xml:space="preserve">: whether they are good, whether they are bad, whether they are dangerous and to be feared, whether they have dignity and are to be valued, and so on. These messages are received in different ways, with implications for the effectiveness of attempts at</w:t>
      </w:r>
      <w:r>
        <w:t xml:space="preserve"> </w:t>
      </w:r>
      <w:r>
        <w:t xml:space="preserve">‘reform’</w:t>
      </w:r>
      <w:r>
        <w:t xml:space="preserve">:</w:t>
      </w:r>
    </w:p>
    <w:p>
      <w:pPr>
        <w:numPr>
          <w:ilvl w:val="1"/>
          <w:numId w:val="1011"/>
        </w:numPr>
      </w:pPr>
      <w:r>
        <w:t xml:space="preserve">Prisoners who are more comfortable with the view that their offending makes them</w:t>
      </w:r>
      <w:r>
        <w:t xml:space="preserve"> </w:t>
      </w:r>
      <w:r>
        <w:t xml:space="preserve">‘deficient’</w:t>
      </w:r>
      <w:r>
        <w:t xml:space="preserve">—perhaps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w:t>
      </w:r>
      <w:r>
        <w:t xml:space="preserve"> </w:t>
      </w:r>
      <w:r>
        <w:t xml:space="preserve">‘deficient’</w:t>
      </w:r>
      <w:r>
        <w:t xml:space="preserve"> </w:t>
      </w:r>
      <w:r>
        <w:t xml:space="preserve">are generally less favourably disposed towards opportunities which they believe seek to</w:t>
      </w:r>
      <w:r>
        <w:t xml:space="preserve"> </w:t>
      </w:r>
      <w:r>
        <w:t xml:space="preserve">‘fix’</w:t>
      </w:r>
      <w:r>
        <w:t xml:space="preserve"> </w:t>
      </w:r>
      <w:r>
        <w:t xml:space="preserve">them. Such attitudes come about for various reasons. One is if the individual dissents from the</w:t>
      </w:r>
      <w:r>
        <w:t xml:space="preserve"> </w:t>
      </w:r>
      <w:r>
        <w:t xml:space="preserve">‘official’</w:t>
      </w:r>
      <w:r>
        <w:t xml:space="preserve"> </w:t>
      </w:r>
      <w:r>
        <w:t xml:space="preserve">view that the offence was harmful or that they were culpable. Another is if they have already completed a wide range of reformative</w:t>
      </w:r>
      <w:r>
        <w:t xml:space="preserve"> </w:t>
      </w:r>
      <w:r>
        <w:t xml:space="preserve">‘work’</w:t>
      </w:r>
      <w:r>
        <w:t xml:space="preserve"> </w:t>
      </w:r>
      <w:r>
        <w:t xml:space="preserve">on themselves, and dissent from the view that more is required. Another is if risk assessment leads to the identification of further sentence plan objectives, to the extent that this feels like a</w:t>
      </w:r>
      <w:r>
        <w:t xml:space="preserve"> </w:t>
      </w:r>
      <w:r>
        <w:t xml:space="preserve">‘moving of the goalposts’</w:t>
      </w:r>
      <w:r>
        <w:t xml:space="preserve">.</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w:t>
      </w:r>
      <w:r>
        <w:t xml:space="preserve"> </w:t>
      </w:r>
      <w:r>
        <w:t xml:space="preserve">‘reforming offenders’</w:t>
      </w:r>
      <w:r>
        <w:t xml:space="preserve"> </w:t>
      </w:r>
      <w:r>
        <w:t xml:space="preserve">can be critiqued as a</w:t>
      </w:r>
      <w:r>
        <w:t xml:space="preserve"> </w:t>
      </w:r>
      <w:r>
        <w:t xml:space="preserve">‘top down’</w:t>
      </w:r>
      <w:r>
        <w:t xml:space="preserve"> </w:t>
      </w:r>
      <w:r>
        <w:t xml:space="preserve">process, in which the offender is</w:t>
      </w:r>
      <w:r>
        <w:t xml:space="preserve"> </w:t>
      </w:r>
      <w:r>
        <w:t xml:space="preserve">‘acted upon’</w:t>
      </w:r>
      <w:r>
        <w:t xml:space="preserve"> </w:t>
      </w:r>
      <w:r>
        <w:t xml:space="preserve">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w:t>
      </w:r>
      <w:r>
        <w:t xml:space="preserve"> </w:t>
      </w:r>
      <w:r>
        <w:t xml:space="preserve">‘reform’</w:t>
      </w:r>
      <w:r>
        <w:t xml:space="preserve"> </w:t>
      </w:r>
      <w:r>
        <w:t xml:space="preserve">comes from the interaction of individual and environment, not from one or the other.</w:t>
      </w:r>
    </w:p>
    <w:p>
      <w:pPr>
        <w:numPr>
          <w:ilvl w:val="0"/>
          <w:numId w:val="1004"/>
        </w:numPr>
      </w:pPr>
      <w:r>
        <w:t xml:space="preserve">While the idea of</w:t>
      </w:r>
      <w:r>
        <w:t xml:space="preserve"> </w:t>
      </w:r>
      <w:r>
        <w:t xml:space="preserve">‘deficits’</w:t>
      </w:r>
      <w:r>
        <w:t xml:space="preserve"> </w:t>
      </w:r>
      <w:r>
        <w:t xml:space="preserve">might make more sense in some cases than others, desistance research in criminology suggests that it can be counterproductive to</w:t>
      </w:r>
      <w:r>
        <w:t xml:space="preserve"> </w:t>
      </w:r>
      <w:r>
        <w:t xml:space="preserve">‘talk down’</w:t>
      </w:r>
      <w:r>
        <w:t xml:space="preserve"> </w:t>
      </w:r>
      <w:r>
        <w:t xml:space="preserve">to people, since their success in projects of change also depends to some extent on feeling capable and in control of their own lives, rather than disempowered and condemned to endless failure.</w:t>
      </w:r>
      <w:r>
        <w:rPr>
          <w:rStyle w:val="FootnoteReference"/>
        </w:rPr>
        <w:footnoteReference w:id="36"/>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37"/>
      </w:r>
      <w:r>
        <w:t xml:space="preserve"> </w:t>
      </w:r>
      <w:r>
        <w:t xml:space="preserve">This makes some form of outside intervention an unavoidable response to a serious crime. But an excessively</w:t>
      </w:r>
      <w:r>
        <w:t xml:space="preserve"> </w:t>
      </w:r>
      <w:r>
        <w:t xml:space="preserve">‘top-down’</w:t>
      </w:r>
      <w:r>
        <w:t xml:space="preserve"> </w:t>
      </w:r>
      <w:r>
        <w:t xml:space="preserve">emphasis can foster dependency.</w:t>
      </w:r>
    </w:p>
    <w:p>
      <w:pPr>
        <w:numPr>
          <w:ilvl w:val="0"/>
          <w:numId w:val="1004"/>
        </w:numPr>
      </w:pPr>
      <w:r>
        <w:t xml:space="preserve">The implication of desistance research is therefore that prisons and criminal justice professionals engaged in</w:t>
      </w:r>
      <w:r>
        <w:t xml:space="preserve"> </w:t>
      </w:r>
      <w:r>
        <w:t xml:space="preserve">‘reform’</w:t>
      </w:r>
      <w:r>
        <w:t xml:space="preserve"> </w:t>
      </w:r>
      <w:r>
        <w:t xml:space="preserve">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w:t>
      </w:r>
      <w:r>
        <w:t xml:space="preserve"> </w:t>
      </w:r>
      <w:r>
        <w:t xml:space="preserve">‘reformed’</w:t>
      </w:r>
      <w:r>
        <w:t xml:space="preserve"> </w:t>
      </w:r>
      <w:r>
        <w:t xml:space="preserve">status, this can undermine progress (or cause</w:t>
      </w:r>
      <w:r>
        <w:t xml:space="preserve"> </w:t>
      </w:r>
      <w:r>
        <w:t xml:space="preserve">‘reformed’</w:t>
      </w:r>
      <w:r>
        <w:t xml:space="preserve"> </w:t>
      </w:r>
      <w:r>
        <w:t xml:space="preserve">or</w:t>
      </w:r>
      <w:r>
        <w:t xml:space="preserve"> </w:t>
      </w:r>
      <w:r>
        <w:t xml:space="preserve">‘ex-’</w:t>
      </w:r>
      <w:r>
        <w:t xml:space="preserve"> </w:t>
      </w:r>
      <w:r>
        <w:t xml:space="preserve">offenders to select limited goals in the first place). Life-sentenced prisoners are well aware that their sentence imposes barriers to full social participation even after they have</w:t>
      </w:r>
      <w:r>
        <w:t xml:space="preserve"> </w:t>
      </w:r>
      <w:r>
        <w:t xml:space="preserve">‘repaid their debt [i.e. the penalty phase of the sentence] to society’</w:t>
      </w:r>
      <w:r>
        <w:t xml:space="preserve">. Many men in my PhD sample had very limited and achievable goals for the years after release.</w:t>
      </w:r>
    </w:p>
    <w:p>
      <w:pPr>
        <w:numPr>
          <w:ilvl w:val="0"/>
          <w:numId w:val="1004"/>
        </w:numPr>
      </w:pPr>
      <w:r>
        <w:t xml:space="preserve">In summary, the idea that prisons</w:t>
      </w:r>
      <w:r>
        <w:t xml:space="preserve"> </w:t>
      </w:r>
      <w:r>
        <w:t xml:space="preserve">‘reform’</w:t>
      </w:r>
      <w:r>
        <w:t xml:space="preserve"> </w:t>
      </w:r>
      <w:r>
        <w:t xml:space="preserve">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w:t>
      </w:r>
      <w:r>
        <w:t xml:space="preserve"> </w:t>
      </w:r>
      <w:r>
        <w:t xml:space="preserve">‘dangerous’</w:t>
      </w:r>
      <w:r>
        <w:t xml:space="preserve"> </w:t>
      </w:r>
      <w:r>
        <w:t xml:space="preserve">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w:t>
      </w:r>
      <w:r>
        <w:t xml:space="preserve"> </w:t>
      </w:r>
      <w:r>
        <w:t xml:space="preserve">‘count’</w:t>
      </w:r>
      <w:r>
        <w:t xml:space="preserve">, and that prisoners (or staff) who are victimised or harmed by other prisoners are not members of</w:t>
      </w:r>
      <w:r>
        <w:t xml:space="preserve"> </w:t>
      </w:r>
      <w:r>
        <w:t xml:space="preserve">‘the public’</w:t>
      </w:r>
      <w:r>
        <w:t xml:space="preserve">. Nor are the families of prisoners, whose interests may be irremediably harmed by the sentence, along with those of their family member who was actually convicted of a crime. With these caveats in mind, however,</w:t>
      </w:r>
      <w:r>
        <w:t xml:space="preserve"> </w:t>
      </w:r>
      <w:r>
        <w:t xml:space="preserve">‘incapacitation’</w:t>
      </w:r>
      <w:r>
        <w:t xml:space="preserve"> </w:t>
      </w:r>
      <w:r>
        <w:t xml:space="preserve">remains a straightforward and relatively obvious justification for imprisonment, and imprisonment can be said to</w:t>
      </w:r>
      <w:r>
        <w:t xml:space="preserve"> </w:t>
      </w:r>
      <w:r>
        <w:t xml:space="preserve">‘protect the public’</w:t>
      </w:r>
      <w:r>
        <w:t xml:space="preserve">, though only for as long and to the extent that the offender remains</w:t>
      </w:r>
      <w:r>
        <w:t xml:space="preserve"> </w:t>
      </w:r>
      <w:r>
        <w:t xml:space="preserve">‘dangerous’</w:t>
      </w:r>
      <w:r>
        <w:t xml:space="preserve">,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w:t>
      </w:r>
      <w:r>
        <w:t xml:space="preserve"> </w:t>
      </w:r>
      <w:r>
        <w:t xml:space="preserve">‘banishing [RJ] to low-seriousness crimes is a wasted opportunity’</w:t>
      </w:r>
      <w:r>
        <w:t xml:space="preserve">.</w:t>
      </w:r>
      <w:r>
        <w:rPr>
          <w:rStyle w:val="FootnoteReference"/>
        </w:rPr>
        <w:footnoteReference w:id="38"/>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w:t>
      </w:r>
      <w:r>
        <w:t xml:space="preserve"> </w:t>
      </w:r>
      <w:r>
        <w:t xml:space="preserve">‘victim awareness’</w:t>
      </w:r>
      <w:r>
        <w:t xml:space="preserve"> </w:t>
      </w:r>
      <w:r>
        <w:t xml:space="preserve">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39"/>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w:t>
      </w:r>
      <w:r>
        <w:t xml:space="preserve"> </w:t>
      </w:r>
      <w:r>
        <w:t xml:space="preserve">‘risky being’</w:t>
      </w:r>
      <w:r>
        <w:t xml:space="preserve"> </w:t>
      </w:r>
      <w:r>
        <w:t xml:space="preserve">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w:t>
      </w:r>
      <w:r>
        <w:t xml:space="preserve">‘preventing future victims’</w:t>
      </w:r>
      <w:r>
        <w:t xml:space="preserve">) such as those emblazoned on motivational posters, logos, and used in courses.</w:t>
      </w:r>
    </w:p>
    <w:p>
      <w:pPr>
        <w:numPr>
          <w:ilvl w:val="0"/>
          <w:numId w:val="1004"/>
        </w:numPr>
      </w:pPr>
      <w:r>
        <w:t xml:space="preserve">Some similar quality—of dignity, accomplishment, and achievement unrelated to criminalised (or</w:t>
      </w:r>
      <w:r>
        <w:t xml:space="preserve"> </w:t>
      </w:r>
      <w:r>
        <w:t xml:space="preserve">‘reformed’</w:t>
      </w:r>
      <w:r>
        <w:t xml:space="preserve">) status was evident among those who had made significant achievements in a field not related to their offending, for example by completing degrees or other higher educational qualifications. These diluted the</w:t>
      </w:r>
      <w:r>
        <w:t xml:space="preserve"> </w:t>
      </w:r>
      <w:r>
        <w:t xml:space="preserve">‘criminal’</w:t>
      </w:r>
      <w:r>
        <w:t xml:space="preserve"> </w:t>
      </w:r>
      <w:r>
        <w:t xml:space="preserve">in their identity, as well as offering constructive and challenging ways to use time. However, such opportunities are few, receive little recognition, and can be difficult to access.</w:t>
      </w:r>
      <w:r>
        <w:rPr>
          <w:rStyle w:val="FootnoteReference"/>
        </w:rPr>
        <w:footnoteReference w:id="40"/>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w:t>
      </w:r>
      <w:r>
        <w:t xml:space="preserve"> </w:t>
      </w:r>
      <w:r>
        <w:t xml:space="preserve">‘top-down’</w:t>
      </w:r>
      <w:r>
        <w:t xml:space="preserve"> </w:t>
      </w:r>
      <w:r>
        <w:t xml:space="preserve">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w:t>
      </w:r>
      <w:r>
        <w:t xml:space="preserve"> </w:t>
      </w:r>
      <w:r>
        <w:t xml:space="preserve">‘dangerous’</w:t>
      </w:r>
      <w:r>
        <w:t xml:space="preserve">, and only to the extent that offenders, their dependents, and prison staff are not</w:t>
      </w:r>
      <w:r>
        <w:t xml:space="preserve"> </w:t>
      </w:r>
      <w:r>
        <w:t xml:space="preserve">‘the public’</w:t>
      </w:r>
      <w:r>
        <w:t xml:space="preserve">. All are exposed to the dangers created by prisons, and all are generally excluded from discourses of</w:t>
      </w:r>
      <w:r>
        <w:t xml:space="preserve"> </w:t>
      </w:r>
      <w:r>
        <w:t xml:space="preserve">‘public protection’</w:t>
      </w:r>
      <w:r>
        <w:t xml:space="preserve">.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41"/>
    <w:bookmarkStart w:id="44"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42"/>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w:t>
      </w:r>
      <w:r>
        <w:t xml:space="preserve"> </w:t>
      </w:r>
      <w:r>
        <w:t xml:space="preserve">‘clearly at odds with community views’</w:t>
      </w:r>
      <w:r>
        <w:t xml:space="preserve"> </w:t>
      </w:r>
      <w:r>
        <w:t xml:space="preserve">(2012: 3);</w:t>
      </w:r>
    </w:p>
    <w:p>
      <w:pPr>
        <w:numPr>
          <w:ilvl w:val="1"/>
          <w:numId w:val="1014"/>
        </w:numPr>
      </w:pPr>
      <w:r>
        <w:t xml:space="preserve">The current sentencing arrangements</w:t>
      </w:r>
      <w:r>
        <w:rPr>
          <w:rStyle w:val="FootnoteReference"/>
        </w:rPr>
        <w:footnoteReference w:id="43"/>
      </w:r>
      <w:r>
        <w:t xml:space="preserve"> </w:t>
      </w:r>
      <w:r>
        <w:t xml:space="preserve">‘create injustice and undermine public confidence [with] no offsetting benefit in terms of crime control’</w:t>
      </w:r>
      <w:r>
        <w:t xml:space="preserve">, so that</w:t>
      </w:r>
      <w:r>
        <w:t xml:space="preserve"> </w:t>
      </w:r>
      <w:r>
        <w:t xml:space="preserve">‘a thorough review [is] clearly necessary […] to devise a sentencing scheme which reflects proportionality in sentencing’</w:t>
      </w:r>
      <w:r>
        <w:t xml:space="preserve"> </w:t>
      </w:r>
      <w:r>
        <w:t xml:space="preserve">(ibid.).</w:t>
      </w:r>
    </w:p>
    <w:bookmarkEnd w:id="44"/>
    <w:bookmarkStart w:id="48"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45"/>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46"/>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w:t>
      </w:r>
      <w:r>
        <w:t xml:space="preserve"> </w:t>
      </w:r>
      <w:r>
        <w:t xml:space="preserve">‘cause, vocation or ideal’</w:t>
      </w:r>
      <w:r>
        <w:rPr>
          <w:rStyle w:val="FootnoteReference"/>
        </w:rPr>
        <w:footnoteReference w:id="47"/>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48"/>
    <w:bookmarkStart w:id="65"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w:t>
      </w:r>
      <w:r>
        <w:t xml:space="preserve"> </w:t>
      </w:r>
      <w:r>
        <w:t xml:space="preserve">‘general’</w:t>
      </w:r>
      <w:r>
        <w:t xml:space="preserve"> </w:t>
      </w:r>
      <w:r>
        <w:t xml:space="preserve">or</w:t>
      </w:r>
      <w:r>
        <w:t xml:space="preserve"> </w:t>
      </w:r>
      <w:r>
        <w:t xml:space="preserve">‘typical’</w:t>
      </w:r>
      <w:r>
        <w:t xml:space="preserve"> </w:t>
      </w:r>
      <w:r>
        <w:t xml:space="preserve">experience holding true for the entire sample, and this section of my response should be read with this in mind. Nevertheless, the Commission has asked for information about how the sentence is served, and points in its terms of reference to victims feeling in the dark about</w:t>
      </w:r>
      <w:r>
        <w:t xml:space="preserve"> </w:t>
      </w:r>
      <w:r>
        <w:t xml:space="preserve">‘how time in prison is spent’</w:t>
      </w:r>
      <w:r>
        <w:t xml:space="preserve">,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w:t>
      </w:r>
      <w:r>
        <w:t xml:space="preserve"> </w:t>
      </w:r>
      <w:r>
        <w:t xml:space="preserve">‘how the sentence is actually spent’</w:t>
      </w:r>
      <w:r>
        <w:t xml:space="preserve"> </w:t>
      </w:r>
      <w:r>
        <w:t xml:space="preserve">under four headings, as follows:</w:t>
      </w:r>
      <w:r>
        <w:rPr>
          <w:rStyle w:val="FootnoteReference"/>
        </w:rPr>
        <w:footnoteReference w:id="49"/>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w:t>
      </w:r>
      <w:r>
        <w:t xml:space="preserve"> </w:t>
      </w:r>
      <w:r>
        <w:t xml:space="preserve">‘treading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w:t>
      </w:r>
      <w:r>
        <w:t xml:space="preserve"> </w:t>
      </w:r>
      <w:r>
        <w:t xml:space="preserve">‘story of the sentence’</w:t>
      </w:r>
      <w:r>
        <w:t xml:space="preserve">: they make clear what lifers must</w:t>
      </w:r>
      <w:r>
        <w:t xml:space="preserve"> </w:t>
      </w:r>
      <w:r>
        <w:t xml:space="preserve">‘get through’</w:t>
      </w:r>
      <w:r>
        <w:t xml:space="preserve"> </w:t>
      </w:r>
      <w:r>
        <w:t xml:space="preserve">in order to progress towards their release, but they only hint at how varied their experiences of doing so will be.</w:t>
      </w:r>
    </w:p>
    <w:bookmarkStart w:id="51"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50"/>
      </w:r>
      <w:r>
        <w:t xml:space="preserve"> </w:t>
      </w:r>
      <w:r>
        <w:t xml:space="preserve">There is no need to repeat that analysis, except to reiterate that</w:t>
      </w:r>
      <w:r>
        <w:t xml:space="preserve"> </w:t>
      </w:r>
      <w:r>
        <w:t xml:space="preserve">‘adapting’</w:t>
      </w:r>
      <w:r>
        <w:t xml:space="preserve"> </w:t>
      </w:r>
      <w:r>
        <w:t xml:space="preserve">involves:</w:t>
      </w:r>
    </w:p>
    <w:p>
      <w:pPr>
        <w:numPr>
          <w:ilvl w:val="1"/>
          <w:numId w:val="1021"/>
        </w:numPr>
      </w:pPr>
      <w:r>
        <w:t xml:space="preserve">learning to</w:t>
      </w:r>
      <w:r>
        <w:t xml:space="preserve"> </w:t>
      </w:r>
      <w:r>
        <w:t xml:space="preserve">‘let go’</w:t>
      </w:r>
      <w:r>
        <w:t xml:space="preserve"> </w:t>
      </w:r>
      <w:r>
        <w:t xml:space="preserve">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w:t>
      </w:r>
      <w:r>
        <w:t xml:space="preserve"> </w:t>
      </w:r>
      <w:r>
        <w:t xml:space="preserve">‘adaptation’</w:t>
      </w:r>
      <w:r>
        <w:t xml:space="preserve"> </w:t>
      </w:r>
      <w:r>
        <w:t xml:space="preserve">among lifers in my PhD sample:</w:t>
      </w:r>
    </w:p>
    <w:p>
      <w:pPr>
        <w:numPr>
          <w:ilvl w:val="1"/>
          <w:numId w:val="1022"/>
        </w:numPr>
      </w:pPr>
      <w:r>
        <w:t xml:space="preserve">‘Adapting’</w:t>
      </w:r>
      <w:r>
        <w:t xml:space="preserve"> </w:t>
      </w:r>
      <w:r>
        <w:t xml:space="preserve">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w:t>
      </w:r>
      <w:r>
        <w:t xml:space="preserve"> </w:t>
      </w:r>
      <w:r>
        <w:t xml:space="preserve">‘early retirement’</w:t>
      </w:r>
      <w:r>
        <w:t xml:space="preserve">.</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w:t>
      </w:r>
      <w:r>
        <w:t xml:space="preserve"> </w:t>
      </w:r>
      <w:r>
        <w:t xml:space="preserve">‘getting on with it’</w:t>
      </w:r>
      <w:r>
        <w:t xml:space="preserve">—were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w:t>
      </w:r>
      <w:r>
        <w:t xml:space="preserve"> </w:t>
      </w:r>
      <w:r>
        <w:t xml:space="preserve">‘rowdy’</w:t>
      </w:r>
      <w:r>
        <w:t xml:space="preserve"> </w:t>
      </w:r>
      <w:r>
        <w:t xml:space="preserve">or</w:t>
      </w:r>
      <w:r>
        <w:t xml:space="preserve"> </w:t>
      </w:r>
      <w:r>
        <w:t xml:space="preserve">‘criminal’</w:t>
      </w:r>
      <w:r>
        <w:t xml:space="preserve"> </w:t>
      </w:r>
      <w:r>
        <w:t xml:space="preserve">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51"/>
    <w:bookmarkStart w:id="58"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w:t>
      </w:r>
      <w:r>
        <w:t xml:space="preserve"> </w:t>
      </w:r>
      <w:r>
        <w:t xml:space="preserve">‘reduce their risk’</w:t>
      </w:r>
      <w:r>
        <w:t xml:space="preserve">.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w:t>
      </w:r>
      <w:r>
        <w:t xml:space="preserve"> </w:t>
      </w:r>
      <w:r>
        <w:t xml:space="preserve">‘Offending behaviour programmes’</w:t>
      </w:r>
      <w:r>
        <w:t xml:space="preserve"> </w:t>
      </w:r>
      <w:r>
        <w:t xml:space="preserve">or more colloquially,</w:t>
      </w:r>
      <w:r>
        <w:t xml:space="preserve"> </w:t>
      </w:r>
      <w:r>
        <w:t xml:space="preserve">‘courses’</w:t>
      </w:r>
      <w:r>
        <w:t xml:space="preserve"> </w:t>
      </w:r>
      <w:r>
        <w:t xml:space="preserve">are prominent. Participation in courses is not mandatory, but most lifers understand their centrality to the prison’s rehabilitative</w:t>
      </w:r>
      <w:r>
        <w:t xml:space="preserve"> </w:t>
      </w:r>
      <w:r>
        <w:t xml:space="preserve">‘offer’</w:t>
      </w:r>
      <w:r>
        <w:t xml:space="preserve">,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52"/>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w:t>
      </w:r>
      <w:r>
        <w:t xml:space="preserve"> </w:t>
      </w:r>
      <w:r>
        <w:t xml:space="preserve">‘skills’</w:t>
      </w:r>
      <w:r>
        <w:t xml:space="preserve"> </w:t>
      </w:r>
      <w:r>
        <w:t xml:space="preserve">by which he might better understand and manage his emotions in future, and thereby also</w:t>
      </w:r>
      <w:r>
        <w:t xml:space="preserve"> </w:t>
      </w:r>
      <w:r>
        <w:t xml:space="preserve">‘manage his risk’</w:t>
      </w:r>
      <w:r>
        <w:t xml:space="preserve">. The implication throughout is that the prisoner, once convicted, remains in some sense</w:t>
      </w:r>
      <w:r>
        <w:t xml:space="preserve"> </w:t>
      </w:r>
      <w:r>
        <w:t xml:space="preserve">‘risky’</w:t>
      </w:r>
      <w:r>
        <w:t xml:space="preserve"> </w:t>
      </w:r>
      <w:r>
        <w:t xml:space="preserve">for life, otherwise</w:t>
      </w:r>
      <w:r>
        <w:t xml:space="preserve"> </w:t>
      </w:r>
      <w:r>
        <w:t xml:space="preserve">‘skills’</w:t>
      </w:r>
      <w:r>
        <w:t xml:space="preserve"> </w:t>
      </w:r>
      <w:r>
        <w:t xml:space="preserve">would not be required.</w:t>
      </w:r>
    </w:p>
    <w:p>
      <w:pPr>
        <w:numPr>
          <w:ilvl w:val="0"/>
          <w:numId w:val="1024"/>
        </w:numPr>
      </w:pPr>
      <w:r>
        <w:t xml:space="preserve">Where a lifer’s risk is relatively low to begin with, sentence plans typically set relatively few objectives for</w:t>
      </w:r>
      <w:r>
        <w:t xml:space="preserve"> </w:t>
      </w:r>
      <w:r>
        <w:t xml:space="preserve">‘offence-focused work’</w:t>
      </w:r>
      <w:r>
        <w:t xml:space="preserve">.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w:t>
      </w:r>
      <w:r>
        <w:t xml:space="preserve"> </w:t>
      </w:r>
      <w:r>
        <w:t xml:space="preserve">‘skills’</w:t>
      </w:r>
      <w:r>
        <w:t xml:space="preserve"> </w:t>
      </w:r>
      <w:r>
        <w:t xml:space="preserve">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w:t>
      </w:r>
      <w:r>
        <w:t xml:space="preserve"> </w:t>
      </w:r>
      <w:r>
        <w:t xml:space="preserve">‘deep’</w:t>
      </w:r>
      <w:r>
        <w:t xml:space="preserve"> </w:t>
      </w:r>
      <w:r>
        <w:t xml:space="preserve">psychological roots of their violence and were drawn to the language of learning</w:t>
      </w:r>
      <w:r>
        <w:t xml:space="preserve"> </w:t>
      </w:r>
      <w:r>
        <w:t xml:space="preserve">‘skills’</w:t>
      </w:r>
      <w:r>
        <w:t xml:space="preserve"> </w:t>
      </w:r>
      <w:r>
        <w:t xml:space="preserve">to improve their lives in future.</w:t>
      </w:r>
      <w:r>
        <w:rPr>
          <w:rStyle w:val="FootnoteReference"/>
        </w:rPr>
        <w:footnoteReference w:id="53"/>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54"/>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w:t>
      </w:r>
      <w:r>
        <w:t xml:space="preserve"> </w:t>
      </w:r>
      <w:r>
        <w:t xml:space="preserve">‘risky’</w:t>
      </w:r>
      <w:r>
        <w:t xml:space="preserve">, since it appears to mean they are</w:t>
      </w:r>
      <w:r>
        <w:t xml:space="preserve"> </w:t>
      </w:r>
      <w:r>
        <w:t xml:space="preserve">‘not taking responsibility’</w:t>
      </w:r>
      <w:r>
        <w:t xml:space="preserve"> </w:t>
      </w:r>
      <w:r>
        <w:t xml:space="preserve">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w:t>
      </w:r>
      <w:r>
        <w:t xml:space="preserve"> </w:t>
      </w:r>
      <w:r>
        <w:t xml:space="preserve">‘denial’</w:t>
      </w:r>
      <w:r>
        <w:t xml:space="preserve"> </w:t>
      </w:r>
      <w:r>
        <w:t xml:space="preserve">and safety in prison means that we should be sceptical of a straightforward link between denial and risk.</w:t>
      </w:r>
    </w:p>
    <w:p>
      <w:pPr>
        <w:numPr>
          <w:ilvl w:val="0"/>
          <w:numId w:val="1024"/>
        </w:numPr>
      </w:pPr>
      <w:r>
        <w:t xml:space="preserve">Indeed, a straightforward connection between</w:t>
      </w:r>
      <w:r>
        <w:t xml:space="preserve"> </w:t>
      </w:r>
      <w:r>
        <w:t xml:space="preserve">‘denial’</w:t>
      </w:r>
      <w:r>
        <w:t xml:space="preserve"> </w:t>
      </w:r>
      <w:r>
        <w:t xml:space="preserve">(or other forms of minimising blame) and</w:t>
      </w:r>
      <w:r>
        <w:t xml:space="preserve"> </w:t>
      </w:r>
      <w:r>
        <w:t xml:space="preserve">‘risk’</w:t>
      </w:r>
      <w:r>
        <w:t xml:space="preserve"> </w:t>
      </w:r>
      <w:r>
        <w:t xml:space="preserve">is poorly supported by empirical evidence. The connection between the two appears in fact to be far more complex, sometimes pointing in the opposite direction, and suggesting that individuals may have a wide range of reasons for</w:t>
      </w:r>
      <w:r>
        <w:t xml:space="preserve"> </w:t>
      </w:r>
      <w:r>
        <w:t xml:space="preserve">‘denial’</w:t>
      </w:r>
      <w:r>
        <w:t xml:space="preserve">, often connected not with their attitudes to the past, but instead to their future relationships with others (and their relationship with themselves).</w:t>
      </w:r>
      <w:r>
        <w:t xml:space="preserve"> </w:t>
      </w:r>
      <w:r>
        <w:t xml:space="preserve">‘Denial’</w:t>
      </w:r>
      <w:r>
        <w:t xml:space="preserve"> </w:t>
      </w:r>
      <w:r>
        <w:t xml:space="preserve">may just as well be a way to manage shame and ostracism among people who privately might accept guilt, but feel unable for whatever reason to make this a public stance.</w:t>
      </w:r>
      <w:r>
        <w:rPr>
          <w:rStyle w:val="FootnoteReference"/>
        </w:rPr>
        <w:footnoteReference w:id="55"/>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w:t>
      </w:r>
      <w:r>
        <w:t xml:space="preserve"> </w:t>
      </w:r>
      <w:r>
        <w:t xml:space="preserve">‘criminogenic needs’</w:t>
      </w:r>
      <w:r>
        <w:t xml:space="preserve"> </w:t>
      </w:r>
      <w:r>
        <w:t xml:space="preserve">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w:t>
      </w:r>
      <w:r>
        <w:t xml:space="preserve"> </w:t>
      </w:r>
      <w:r>
        <w:t xml:space="preserve">‘skills’</w:t>
      </w:r>
      <w:r>
        <w:t xml:space="preserve"> </w:t>
      </w:r>
      <w:r>
        <w:t xml:space="preserve">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56"/>
      </w:r>
      <w:r>
        <w:t xml:space="preserve"> </w:t>
      </w:r>
      <w:r>
        <w:t xml:space="preserve">But several men in the sample, who had either maintained a nuanced position regarding the offence, or disputed their relative culpability in relation to co-defendants, did explicitly say that their</w:t>
      </w:r>
      <w:r>
        <w:t xml:space="preserve"> </w:t>
      </w:r>
      <w:r>
        <w:t xml:space="preserve">‘denial’</w:t>
      </w:r>
      <w:r>
        <w:t xml:space="preserve"> </w:t>
      </w:r>
      <w:r>
        <w:t xml:space="preserve">had delayed their progress, for example because differences between their account and the official account of the offence had become a point of conflict with staff, causing them to be written off as untrustworthy, argumentative, or</w:t>
      </w:r>
      <w:r>
        <w:t xml:space="preserve"> </w:t>
      </w:r>
      <w:r>
        <w:t xml:space="preserve">‘deniers’</w:t>
      </w:r>
      <w:r>
        <w:t xml:space="preserve">. Some felt marginalised and alienated by this, because they felt an incomplete admission of guilt had been used to prolong their punishment.</w:t>
      </w:r>
      <w:r>
        <w:rPr>
          <w:rStyle w:val="FootnoteReference"/>
        </w:rPr>
        <w:footnoteReference w:id="57"/>
      </w:r>
    </w:p>
    <w:bookmarkEnd w:id="58"/>
    <w:bookmarkStart w:id="61" w:name="X4b749d8391d4197d7be4cf05323f9158386584d"/>
    <w:p>
      <w:pPr>
        <w:pStyle w:val="Heading2"/>
      </w:pPr>
      <w:r>
        <w:t xml:space="preserve">Passing time, using time, or</w:t>
      </w:r>
      <w:r>
        <w:t xml:space="preserve"> </w:t>
      </w:r>
      <w:r>
        <w:t xml:space="preserve">‘treading water’</w:t>
      </w:r>
    </w:p>
    <w:p>
      <w:pPr>
        <w:numPr>
          <w:ilvl w:val="0"/>
          <w:numId w:val="1027"/>
        </w:numPr>
      </w:pPr>
      <w:r>
        <w:t xml:space="preserve">At a point usually coming after some or all the core risk reduction work is complete, and usually after at least a third of the tariff has been completed, lifers transfer from their</w:t>
      </w:r>
      <w:r>
        <w:t xml:space="preserve"> </w:t>
      </w:r>
      <w:r>
        <w:t xml:space="preserve">‘original’</w:t>
      </w:r>
      <w:r>
        <w:t xml:space="preserve"> </w:t>
      </w:r>
      <w:r>
        <w:t xml:space="preserve">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59"/>
      </w:r>
    </w:p>
    <w:p>
      <w:pPr>
        <w:numPr>
          <w:ilvl w:val="0"/>
          <w:numId w:val="1027"/>
        </w:numPr>
      </w:pPr>
      <w:r>
        <w:t xml:space="preserve">Although the sentence plan continues to be reviewed regularly, sentence plan objectives set at this time tend to frame these periods as a time of</w:t>
      </w:r>
      <w:r>
        <w:t xml:space="preserve"> </w:t>
      </w:r>
      <w:r>
        <w:t xml:space="preserve">‘developing skills’</w:t>
      </w:r>
      <w:r>
        <w:t xml:space="preserve">—during which, in theory, the individual is being monitored for their ability to use the risk management</w:t>
      </w:r>
      <w:r>
        <w:t xml:space="preserve"> </w:t>
      </w:r>
      <w:r>
        <w:t xml:space="preserve">‘skills’</w:t>
      </w:r>
      <w:r>
        <w:t xml:space="preserve"> </w:t>
      </w:r>
      <w:r>
        <w:t xml:space="preserve">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w:t>
      </w:r>
      <w:r>
        <w:t xml:space="preserve"> </w:t>
      </w:r>
      <w:r>
        <w:t xml:space="preserve">‘developing my skills’</w:t>
      </w:r>
      <w:r>
        <w:t xml:space="preserve">; they understand this stage of the sentence as a question of consuming years while also</w:t>
      </w:r>
      <w:r>
        <w:t xml:space="preserve"> </w:t>
      </w:r>
      <w:r>
        <w:t xml:space="preserve">‘staying out of trouble’</w:t>
      </w:r>
      <w:r>
        <w:t xml:space="preserv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60"/>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w:t>
      </w:r>
      <w:r>
        <w:t xml:space="preserve"> </w:t>
      </w:r>
      <w:r>
        <w:t xml:space="preserve">‘do good’</w:t>
      </w:r>
      <w:r>
        <w:t xml:space="preserve"> </w:t>
      </w:r>
      <w:r>
        <w:t xml:space="preserve">or to</w:t>
      </w:r>
      <w:r>
        <w:t xml:space="preserve"> </w:t>
      </w:r>
      <w:r>
        <w:t xml:space="preserve">‘use time’</w:t>
      </w:r>
      <w:r>
        <w:t xml:space="preserve"> </w:t>
      </w:r>
      <w:r>
        <w:t xml:space="preserve">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w:t>
      </w:r>
      <w:r>
        <w:t xml:space="preserve"> </w:t>
      </w:r>
      <w:r>
        <w:t xml:space="preserve">‘limbo’</w:t>
      </w:r>
      <w:r>
        <w:t xml:space="preserve"> </w:t>
      </w:r>
      <w:r>
        <w:t xml:space="preserve">was used by Leon (quoted on this page), but</w:t>
      </w:r>
      <w:r>
        <w:t xml:space="preserve"> </w:t>
      </w:r>
      <w:r>
        <w:t xml:space="preserve">‘treading water’</w:t>
      </w:r>
      <w:r>
        <w:t xml:space="preserve"> </w:t>
      </w:r>
      <w:r>
        <w:t xml:space="preserve">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w:t>
      </w:r>
      <w:r>
        <w:t xml:space="preserve"> </w:t>
      </w:r>
      <w:r>
        <w:t xml:space="preserve">‘groundhog day’</w:t>
      </w:r>
      <w:r>
        <w:t xml:space="preserve"> </w:t>
      </w:r>
      <w:r>
        <w:t xml:space="preserve">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w:t>
      </w:r>
      <w:r>
        <w:t xml:space="preserve"> </w:t>
      </w:r>
      <w:r>
        <w:t xml:space="preserve">‘fix’</w:t>
      </w:r>
      <w:r>
        <w:t xml:space="preserve"> </w:t>
      </w:r>
      <w:r>
        <w:t xml:space="preserve">them than to encourage them to push on. The post-release future can still be as much as a decade or more distant when core risk reduction work is complete. For many (and in my opinion eventually for most) the idea that the period after core risk reduction work is for</w:t>
      </w:r>
      <w:r>
        <w:t xml:space="preserve"> </w:t>
      </w:r>
      <w:r>
        <w:t xml:space="preserve">‘developing skills’</w:t>
      </w:r>
      <w:r>
        <w:t xml:space="preserve"> </w:t>
      </w:r>
      <w:r>
        <w:t xml:space="preserve">loses its meaning. So many lifers reach this point long before their tariff date, and the limited opportunities on offer mean that it is difficult to experience this period of their lives as</w:t>
      </w:r>
      <w:r>
        <w:t xml:space="preserve"> </w:t>
      </w:r>
      <w:r>
        <w:t xml:space="preserve">‘progressive’</w:t>
      </w:r>
      <w:r>
        <w:t xml:space="preserve"> </w:t>
      </w:r>
      <w:r>
        <w:t xml:space="preserve">in the same way that risk reduction work is for many. If prison is still frustrating or obstructing the realisation of their future plans, then</w:t>
      </w:r>
      <w:r>
        <w:t xml:space="preserve"> </w:t>
      </w:r>
      <w:r>
        <w:t xml:space="preserve">‘developing skills’</w:t>
      </w:r>
      <w:r>
        <w:t xml:space="preserve"> </w:t>
      </w:r>
      <w:r>
        <w:t xml:space="preserve">is a way to ward off the worry that life is being wasted. The essence of this stage of the sentence is working out how to use, pass, or waste time.</w:t>
      </w:r>
    </w:p>
    <w:bookmarkEnd w:id="61"/>
    <w:bookmarkStart w:id="64"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62"/>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w:t>
      </w:r>
      <w:r>
        <w:t xml:space="preserve"> </w:t>
      </w:r>
      <w:r>
        <w:t xml:space="preserve">‘knockback’</w:t>
      </w:r>
      <w:r>
        <w:t xml:space="preserve"> </w:t>
      </w:r>
      <w:r>
        <w:t xml:space="preserve">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w:t>
      </w:r>
      <w:r>
        <w:t xml:space="preserve"> </w:t>
      </w:r>
      <w:r>
        <w:t xml:space="preserve">‘thin ice’</w:t>
      </w:r>
      <w:r>
        <w:t xml:space="preserve"> </w:t>
      </w:r>
      <w:r>
        <w:t xml:space="preserve">and</w:t>
      </w:r>
      <w:r>
        <w:t xml:space="preserve"> </w:t>
      </w:r>
      <w:r>
        <w:t xml:space="preserve">‘walking on eggshells’</w:t>
      </w:r>
      <w:r>
        <w:t xml:space="preserve">, suggesting the delicacy of their position.</w:t>
      </w:r>
    </w:p>
    <w:p>
      <w:pPr>
        <w:numPr>
          <w:ilvl w:val="0"/>
          <w:numId w:val="1028"/>
        </w:numPr>
      </w:pPr>
      <w:r>
        <w:t xml:space="preserve">Lifers in the sample who had gone over tariff</w:t>
      </w:r>
      <w:r>
        <w:rPr>
          <w:rStyle w:val="FootnoteReference"/>
        </w:rPr>
        <w:footnoteReference w:id="63"/>
      </w:r>
      <w:r>
        <w:t xml:space="preserve"> </w:t>
      </w:r>
      <w:r>
        <w:t xml:space="preserve">were, of course, all</w:t>
      </w:r>
      <w:r>
        <w:t xml:space="preserve"> </w:t>
      </w:r>
      <w:r>
        <w:t xml:space="preserve">‘in the parole process’</w:t>
      </w:r>
      <w:r>
        <w:t xml:space="preserve">, though some appeared to be closer to the</w:t>
      </w:r>
      <w:r>
        <w:t xml:space="preserve"> </w:t>
      </w:r>
      <w:r>
        <w:t xml:space="preserve">‘exit’</w:t>
      </w:r>
      <w:r>
        <w:t xml:space="preserve"> </w:t>
      </w:r>
      <w:r>
        <w:t xml:space="preserve">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w:t>
      </w:r>
      <w:r>
        <w:t xml:space="preserve"> </w:t>
      </w:r>
      <w:r>
        <w:t xml:space="preserve">‘risky’</w:t>
      </w:r>
      <w:r>
        <w:t xml:space="preserve"> </w:t>
      </w:r>
      <w:r>
        <w:t xml:space="preserve">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64"/>
    <w:bookmarkEnd w:id="65"/>
    <w:bookmarkStart w:id="66"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Catherine Appleton and Dirk van Zyl Smit,</w:t>
      </w:r>
      <w:r>
        <w:t xml:space="preserve"> </w:t>
      </w:r>
      <w:r>
        <w:t xml:space="preserve">‘The Paradox of Reform: Life Imprisonment in England and Wales’</w:t>
      </w:r>
      <w:r>
        <w:t xml:space="preserve">,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26">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27">
    <w:p>
      <w:pPr>
        <w:pStyle w:val="FootnoteText"/>
      </w:pPr>
      <w:r>
        <w:rPr>
          <w:rStyle w:val="FootnoteReference"/>
        </w:rPr>
        <w:footnoteRef/>
      </w:r>
      <w:r>
        <w:t xml:space="preserve"> </w:t>
      </w:r>
      <w:r>
        <w:t xml:space="preserve">Prison Reform Trust,</w:t>
      </w:r>
      <w:r>
        <w:t xml:space="preserve"> </w:t>
      </w:r>
      <w:r>
        <w:t xml:space="preserve">‘Bromley Briefings Prison Factfile Autumn 2018’</w:t>
      </w:r>
      <w:r>
        <w:t xml:space="preserve">, Bromley Briefings (Prison Reform Trust, December 2018), 6–10, http://www.prisonreformtrust.org.uk/Portals/0/Documents/Bromley%20Briefings/Autumn%202018%20Factfile.pdf.</w:t>
      </w:r>
    </w:p>
  </w:footnote>
  <w:footnote w:id="28">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w:t>
      </w:r>
      <w:r>
        <w:t xml:space="preserve"> </w:t>
      </w:r>
      <w:r>
        <w:t xml:space="preserve">‘Britain’s Most Prolific Rapists Should Never Be Freed from Jail, Appeal Court Told’</w:t>
      </w:r>
      <w:r>
        <w:t xml:space="preserve">,</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29">
    <w:p>
      <w:pPr>
        <w:pStyle w:val="FootnoteText"/>
      </w:pPr>
      <w:r>
        <w:rPr>
          <w:rStyle w:val="FootnoteReference"/>
        </w:rPr>
        <w:footnoteRef/>
      </w:r>
      <w:r>
        <w:t xml:space="preserve"> </w:t>
      </w:r>
      <w:r>
        <w:t xml:space="preserve">See paragraph 22 below.</w:t>
      </w:r>
    </w:p>
  </w:footnote>
  <w:footnote w:id="30">
    <w:p>
      <w:pPr>
        <w:pStyle w:val="FootnoteText"/>
      </w:pPr>
      <w:r>
        <w:rPr>
          <w:rStyle w:val="FootnoteReference"/>
        </w:rPr>
        <w:footnoteRef/>
      </w:r>
      <w:r>
        <w:t xml:space="preserve"> </w:t>
      </w:r>
      <w:r>
        <w:t xml:space="preserve">Hansard,</w:t>
      </w:r>
      <w:r>
        <w:t xml:space="preserve"> </w:t>
      </w:r>
      <w:r>
        <w:t xml:space="preserve">‘Prison Sentences: Question for Ministry of Justice’</w:t>
      </w:r>
      <w:r>
        <w:t xml:space="preserve">, UIN HL10576, tabled on 23 November 2020, 23 November 2020, https://questions-statements.parliament.uk/written-questions/detail/2020-11-23/HL10576.</w:t>
      </w:r>
    </w:p>
  </w:footnote>
  <w:footnote w:id="31">
    <w:p>
      <w:pPr>
        <w:pStyle w:val="FootnoteText"/>
      </w:pPr>
      <w:r>
        <w:rPr>
          <w:rStyle w:val="FootnoteReference"/>
        </w:rPr>
        <w:footnoteRef/>
      </w:r>
      <w:r>
        <w:t xml:space="preserve"> </w:t>
      </w:r>
      <w:r>
        <w:t xml:space="preserve">Ministry of Justice,</w:t>
      </w:r>
      <w:r>
        <w:t xml:space="preserve"> </w:t>
      </w:r>
      <w:r>
        <w:t xml:space="preserve">‘Offender Management Statistics Quarterly: April to June 2020’</w:t>
      </w:r>
      <w:r>
        <w:t xml:space="preserve">, Offender Management Statistics Quarterly, GOV.UK, 29 October 2020, https://www.gov.uk/government/publications/offender-management-statistics-quarterly-april-to-june-2020/offender-management-statistics-quarterly-april-to-june-2020.</w:t>
      </w:r>
    </w:p>
  </w:footnote>
  <w:footnote w:id="32">
    <w:p>
      <w:pPr>
        <w:pStyle w:val="FootnoteText"/>
      </w:pPr>
      <w:r>
        <w:rPr>
          <w:rStyle w:val="FootnoteReference"/>
        </w:rPr>
        <w:footnoteRef/>
      </w:r>
      <w:r>
        <w:t xml:space="preserve"> </w:t>
      </w:r>
      <w:r>
        <w:t xml:space="preserve">UK Parliament,</w:t>
      </w:r>
      <w:r>
        <w:t xml:space="preserve"> </w:t>
      </w:r>
      <w:r>
        <w:t xml:space="preserve">‘Sentencing Act 2020’</w:t>
      </w:r>
      <w:r>
        <w:t xml:space="preserve">, UK 2020 c.17 § (2020), https://www.legislation.gov.uk/ukpga/2020/17.</w:t>
      </w:r>
    </w:p>
  </w:footnote>
  <w:footnote w:id="33">
    <w:p>
      <w:pPr>
        <w:pStyle w:val="FootnoteText"/>
      </w:pPr>
      <w:r>
        <w:rPr>
          <w:rStyle w:val="FootnoteReference"/>
        </w:rPr>
        <w:footnoteRef/>
      </w:r>
      <w:r>
        <w:t xml:space="preserve"> </w:t>
      </w:r>
      <w:r>
        <w:t xml:space="preserve">For exanple, Jonathan Simon,</w:t>
      </w:r>
      <w:r>
        <w:t xml:space="preserve"> </w:t>
      </w:r>
      <w:r>
        <w:t xml:space="preserve">‘How Should We Punish Murder?’</w:t>
      </w:r>
      <w:r>
        <w:t xml:space="preserve">,</w:t>
      </w:r>
      <w:r>
        <w:t xml:space="preserve"> </w:t>
      </w:r>
      <w:r>
        <w:rPr>
          <w:i/>
          <w:iCs/>
        </w:rPr>
        <w:t xml:space="preserve">Marquette Law Review</w:t>
      </w:r>
      <w:r>
        <w:t xml:space="preserve"> </w:t>
      </w:r>
      <w:r>
        <w:t xml:space="preserve">94, no. 4 (1 July 2011): 1241, https://scholarship.law.marquette.edu/mulr/vol94/iss4/7; Barry Mitchell and Julian V. Roberts,</w:t>
      </w:r>
      <w:r>
        <w:t xml:space="preserve"> </w:t>
      </w:r>
      <w:r>
        <w:t xml:space="preserve">‘Sentencing for Murder: Exploring Public Knowledge and Public Opinion in England and Wales’</w:t>
      </w:r>
      <w:r>
        <w:t xml:space="preserve">,</w:t>
      </w:r>
      <w:r>
        <w:t xml:space="preserve"> </w:t>
      </w:r>
      <w:r>
        <w:rPr>
          <w:i/>
          <w:iCs/>
        </w:rPr>
        <w:t xml:space="preserve">The British Journal of Criminology</w:t>
      </w:r>
      <w:r>
        <w:t xml:space="preserve"> </w:t>
      </w:r>
      <w:r>
        <w:t xml:space="preserve">52, no. 1 (1 January 2012): 141–58, https://doi.org/10/fnvbjn.</w:t>
      </w:r>
    </w:p>
  </w:footnote>
  <w:footnote w:id="34">
    <w:p>
      <w:pPr>
        <w:pStyle w:val="FootnoteText"/>
      </w:pPr>
      <w:r>
        <w:rPr>
          <w:rStyle w:val="FootnoteReference"/>
        </w:rPr>
        <w:footnoteRef/>
      </w:r>
      <w:r>
        <w:t xml:space="preserve"> </w:t>
      </w:r>
      <w:r>
        <w:t xml:space="preserve">Daniel S. Nagin,</w:t>
      </w:r>
      <w:r>
        <w:t xml:space="preserve"> </w:t>
      </w:r>
      <w:r>
        <w:t xml:space="preserve">‘Deterrence in the Twenty-First Century’</w:t>
      </w:r>
      <w:r>
        <w:t xml:space="preserve">,</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35">
    <w:p>
      <w:pPr>
        <w:pStyle w:val="FootnoteText"/>
      </w:pPr>
      <w:r>
        <w:rPr>
          <w:rStyle w:val="FootnoteReference"/>
        </w:rPr>
        <w:footnoteRef/>
      </w:r>
      <w:r>
        <w:t xml:space="preserve"> </w:t>
      </w:r>
      <w:r>
        <w:t xml:space="preserve">For example, Daniel S. Nagin, Francis T. Cullen, and Cheryl Lero Jonson,</w:t>
      </w:r>
      <w:r>
        <w:t xml:space="preserve"> </w:t>
      </w:r>
      <w:r>
        <w:t xml:space="preserve">‘Imprisonment and Reoffending’</w:t>
      </w:r>
      <w:r>
        <w:t xml:space="preserve">,</w:t>
      </w:r>
      <w:r>
        <w:t xml:space="preserve"> </w:t>
      </w:r>
      <w:r>
        <w:rPr>
          <w:i/>
          <w:iCs/>
        </w:rPr>
        <w:t xml:space="preserve">Crime and Justice</w:t>
      </w:r>
      <w:r>
        <w:t xml:space="preserve"> </w:t>
      </w:r>
      <w:r>
        <w:t xml:space="preserve">38, no. 1 (1 January 2009): 115–200, https://doi.org/10/gfkj9z; Francis T. Cullen, Cheryl Lero Jonson, and Daniel S. Nagin,</w:t>
      </w:r>
      <w:r>
        <w:t xml:space="preserve"> </w:t>
      </w:r>
      <w:r>
        <w:t xml:space="preserve">‘Prisons Do Not Reduce Recidivism’</w:t>
      </w:r>
      <w:r>
        <w:t xml:space="preserve">,</w:t>
      </w:r>
      <w:r>
        <w:t xml:space="preserve"> </w:t>
      </w:r>
      <w:r>
        <w:rPr>
          <w:i/>
          <w:iCs/>
        </w:rPr>
        <w:t xml:space="preserve">The Prison Journal</w:t>
      </w:r>
      <w:r>
        <w:t xml:space="preserve"> </w:t>
      </w:r>
      <w:r>
        <w:t xml:space="preserve">91, no. 3_suppl (2011): 48S-65S, https://doi.org/10/d5t5hm.</w:t>
      </w:r>
    </w:p>
  </w:footnote>
  <w:footnote w:id="36">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37">
    <w:p>
      <w:pPr>
        <w:pStyle w:val="FootnoteText"/>
      </w:pPr>
      <w:r>
        <w:rPr>
          <w:rStyle w:val="FootnoteReference"/>
        </w:rPr>
        <w:footnoteRef/>
      </w:r>
      <w:r>
        <w:t xml:space="preserve"> </w:t>
      </w:r>
      <w:r>
        <w:t xml:space="preserve">Anthony Bottoms and Joanna Shapland,</w:t>
      </w:r>
      <w:r>
        <w:t xml:space="preserve"> </w:t>
      </w:r>
      <w:r>
        <w:t xml:space="preserve">‘Can Persistent Offenders Acquire Virtue?’</w:t>
      </w:r>
      <w:r>
        <w:t xml:space="preserve">,</w:t>
      </w:r>
      <w:r>
        <w:t xml:space="preserve"> </w:t>
      </w:r>
      <w:r>
        <w:rPr>
          <w:i/>
          <w:iCs/>
        </w:rPr>
        <w:t xml:space="preserve">Studies in Christian Ethics</w:t>
      </w:r>
      <w:r>
        <w:t xml:space="preserve"> </w:t>
      </w:r>
      <w:r>
        <w:t xml:space="preserve">27, no. 3 (August 2014): 318–33, https://doi.org/10/gf5bxs.</w:t>
      </w:r>
    </w:p>
  </w:footnote>
  <w:footnote w:id="38">
    <w:p>
      <w:pPr>
        <w:pStyle w:val="FootnoteText"/>
      </w:pPr>
      <w:r>
        <w:rPr>
          <w:rStyle w:val="FootnoteReference"/>
        </w:rPr>
        <w:footnoteRef/>
      </w:r>
      <w:r>
        <w:t xml:space="preserve"> </w:t>
      </w:r>
      <w:r>
        <w:t xml:space="preserve">Heather Strang et al.,</w:t>
      </w:r>
      <w:r>
        <w:t xml:space="preserve"> </w:t>
      </w:r>
      <w:r>
        <w:t xml:space="preserve">‘Restorative Justice Conferencing (RJC) Using Face-to-Face Meetings of Offenders and Victims: Effects on Offender Recidivism and Victim Satisfaction. A Systematic Review’</w:t>
      </w:r>
      <w:r>
        <w:t xml:space="preserve">,</w:t>
      </w:r>
      <w:r>
        <w:t xml:space="preserve"> </w:t>
      </w:r>
      <w:r>
        <w:rPr>
          <w:i/>
          <w:iCs/>
        </w:rPr>
        <w:t xml:space="preserve">Campbell Systematic Reviews</w:t>
      </w:r>
      <w:r>
        <w:t xml:space="preserve"> </w:t>
      </w:r>
      <w:r>
        <w:t xml:space="preserve">9, no. 1 (2013): 48, https://doi.org/10/ghjv5k.</w:t>
      </w:r>
    </w:p>
  </w:footnote>
  <w:footnote w:id="39">
    <w:p>
      <w:pPr>
        <w:pStyle w:val="FootnoteText"/>
      </w:pPr>
      <w:r>
        <w:rPr>
          <w:rStyle w:val="FootnoteReference"/>
        </w:rPr>
        <w:footnoteRef/>
      </w:r>
      <w:r>
        <w:t xml:space="preserve"> </w:t>
      </w:r>
      <w:r>
        <w:t xml:space="preserve">It should be noted that not all lifers I interviewed said they had participated in these courses.</w:t>
      </w:r>
    </w:p>
  </w:footnote>
  <w:footnote w:id="40">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42">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43">
    <w:p>
      <w:pPr>
        <w:pStyle w:val="FootnoteText"/>
      </w:pPr>
      <w:r>
        <w:rPr>
          <w:rStyle w:val="FootnoteReference"/>
        </w:rPr>
        <w:footnoteRef/>
      </w:r>
      <w:r>
        <w:t xml:space="preserve"> </w:t>
      </w:r>
      <w:r>
        <w:t xml:space="preserve">Which remain mostly unchanged since Mitchell and Roberts’ work was published.</w:t>
      </w:r>
    </w:p>
  </w:footnote>
  <w:footnote w:id="45">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46">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47">
    <w:p>
      <w:pPr>
        <w:pStyle w:val="FootnoteText"/>
      </w:pPr>
      <w:r>
        <w:rPr>
          <w:rStyle w:val="FootnoteReference"/>
        </w:rPr>
        <w:footnoteRef/>
      </w:r>
      <w:r>
        <w:t xml:space="preserve"> </w:t>
      </w:r>
      <w:r>
        <w:t xml:space="preserve">Ben Crewe, Susie Hulley, and Serena Wright,</w:t>
      </w:r>
      <w:r>
        <w:t xml:space="preserve"> </w:t>
      </w:r>
      <w:r>
        <w:t xml:space="preserve">‘Swimming with the Tide: Adapting to Long-Term Imprisonment’</w:t>
      </w:r>
      <w:r>
        <w:t xml:space="preserve">,</w:t>
      </w:r>
      <w:r>
        <w:t xml:space="preserve"> </w:t>
      </w:r>
      <w:r>
        <w:rPr>
          <w:i/>
          <w:iCs/>
        </w:rPr>
        <w:t xml:space="preserve">Justice Quarterly</w:t>
      </w:r>
      <w:r>
        <w:t xml:space="preserve"> </w:t>
      </w:r>
      <w:r>
        <w:t xml:space="preserve">34, no. 3 (16 April 2017): 536, https://doi.org/10/gfkdpd.</w:t>
      </w:r>
    </w:p>
  </w:footnote>
  <w:footnote w:id="49">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50">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w:t>
      </w:r>
      <w:r>
        <w:t xml:space="preserve"> </w:t>
      </w:r>
      <w:r>
        <w:t xml:space="preserve">‘Suppression, Denial, Sublimation: Defending against the Initial Pains of Very Long Life Sentences’</w:t>
      </w:r>
      <w:r>
        <w:t xml:space="preserve">,</w:t>
      </w:r>
      <w:r>
        <w:t xml:space="preserve"> </w:t>
      </w:r>
      <w:r>
        <w:rPr>
          <w:i/>
          <w:iCs/>
        </w:rPr>
        <w:t xml:space="preserve">Theoretical Criminology</w:t>
      </w:r>
      <w:r>
        <w:t xml:space="preserve"> </w:t>
      </w:r>
      <w:r>
        <w:t xml:space="preserve">21, no. 2 (May 2017): 225–46, https://doi.org/10/f967sr.</w:t>
      </w:r>
    </w:p>
  </w:footnote>
  <w:footnote w:id="52">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53">
    <w:p>
      <w:pPr>
        <w:pStyle w:val="FootnoteText"/>
      </w:pPr>
      <w:r>
        <w:rPr>
          <w:rStyle w:val="FootnoteReference"/>
        </w:rPr>
        <w:footnoteRef/>
      </w:r>
      <w:r>
        <w:t xml:space="preserve"> </w:t>
      </w:r>
      <w:r>
        <w:t xml:space="preserve">For further detail on this point, see Ben Jarman,</w:t>
      </w:r>
      <w:r>
        <w:t xml:space="preserve"> </w:t>
      </w:r>
      <w:r>
        <w:t xml:space="preserve">‘Turning Points or Dead Ends? Identity, Desistance and the Experience of Imprisonment’</w:t>
      </w:r>
      <w:r>
        <w:t xml:space="preserve"> </w:t>
      </w:r>
      <w:r>
        <w:t xml:space="preserve">(MPhil, Cambridge, University of Cambridge, 2017), https://doi.org/10/c688; Ben Jarman,</w:t>
      </w:r>
      <w:r>
        <w:t xml:space="preserve"> </w:t>
      </w:r>
      <w:r>
        <w:t xml:space="preserve">‘Only One Way to Swim? The Offence and the Life Course in Accounts of Adaptation to Life Imprisonment’</w:t>
      </w:r>
      <w:r>
        <w:t xml:space="preserve">,</w:t>
      </w:r>
      <w:r>
        <w:t xml:space="preserve"> </w:t>
      </w:r>
      <w:r>
        <w:rPr>
          <w:i/>
          <w:iCs/>
        </w:rPr>
        <w:t xml:space="preserve">The British Journal of Criminology</w:t>
      </w:r>
      <w:r>
        <w:t xml:space="preserve"> </w:t>
      </w:r>
      <w:r>
        <w:t xml:space="preserve">60, no. 6 (21 October 2020): 1460–79, https://doi.org/10/ggs23w.</w:t>
      </w:r>
    </w:p>
  </w:footnote>
  <w:footnote w:id="54">
    <w:p>
      <w:pPr>
        <w:pStyle w:val="FootnoteText"/>
      </w:pPr>
      <w:r>
        <w:rPr>
          <w:rStyle w:val="FootnoteReference"/>
        </w:rPr>
        <w:footnoteRef/>
      </w:r>
      <w:r>
        <w:t xml:space="preserve"> </w:t>
      </w:r>
      <w:r>
        <w:t xml:space="preserve">This included the common (but legally incorrect) contention that</w:t>
      </w:r>
      <w:r>
        <w:t xml:space="preserve"> </w:t>
      </w:r>
      <w:r>
        <w:t xml:space="preserve">‘I was guilty of manslaughter, but I didn’t mean to kill the victim, so I was not guilty of murder’</w:t>
      </w:r>
      <w:r>
        <w:t xml:space="preserve">.</w:t>
      </w:r>
    </w:p>
  </w:footnote>
  <w:footnote w:id="55">
    <w:p>
      <w:pPr>
        <w:pStyle w:val="FootnoteText"/>
      </w:pPr>
      <w:r>
        <w:rPr>
          <w:rStyle w:val="FootnoteReference"/>
        </w:rPr>
        <w:footnoteRef/>
      </w:r>
      <w:r>
        <w:t xml:space="preserve"> </w:t>
      </w:r>
      <w:r>
        <w:t xml:space="preserve">See, for example Jayson Ware and Nicholas Blagden,</w:t>
      </w:r>
      <w:r>
        <w:t xml:space="preserve"> </w:t>
      </w:r>
      <w:r>
        <w:t xml:space="preserve">‘Men with Sexual Convictions and Denial’</w:t>
      </w:r>
      <w:r>
        <w:t xml:space="preserve">,</w:t>
      </w:r>
      <w:r>
        <w:t xml:space="preserve"> </w:t>
      </w:r>
      <w:r>
        <w:rPr>
          <w:i/>
          <w:iCs/>
        </w:rPr>
        <w:t xml:space="preserve">Current Psychiatry Reports</w:t>
      </w:r>
      <w:r>
        <w:t xml:space="preserve"> </w:t>
      </w:r>
      <w:r>
        <w:t xml:space="preserve">22, no. 9 (September 2020): 51, https://doi.org/10/gg53tn; Jayson Ware and Ruth E. Mann,</w:t>
      </w:r>
      <w:r>
        <w:t xml:space="preserve"> </w:t>
      </w:r>
      <w:r>
        <w:t xml:space="preserve">‘How Should</w:t>
      </w:r>
      <w:r>
        <w:t xml:space="preserve"> </w:t>
      </w:r>
      <w:r>
        <w:t xml:space="preserve">“Acceptance of Responsibility”</w:t>
      </w:r>
      <w:r>
        <w:t xml:space="preserve"> </w:t>
      </w:r>
      <w:r>
        <w:t xml:space="preserve">Be Addressed in Sexual Offending Treatment Programs?’</w:t>
      </w:r>
      <w:r>
        <w:t xml:space="preserve">,</w:t>
      </w:r>
      <w:r>
        <w:t xml:space="preserve"> </w:t>
      </w:r>
      <w:r>
        <w:rPr>
          <w:i/>
          <w:iCs/>
        </w:rPr>
        <w:t xml:space="preserve">Aggression and Violent Behavior</w:t>
      </w:r>
      <w:r>
        <w:t xml:space="preserve"> </w:t>
      </w:r>
      <w:r>
        <w:t xml:space="preserve">17, no. 4 (July 2012): 279–88, https://doi.org/10/f342n7.</w:t>
      </w:r>
    </w:p>
  </w:footnote>
  <w:footnote w:id="56">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57">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w:t>
      </w:r>
      <w:r>
        <w:t xml:space="preserve"> </w:t>
      </w:r>
      <w:r>
        <w:t xml:space="preserve">‘In Denial of Murder: No Parole’</w:t>
      </w:r>
      <w:r>
        <w:t xml:space="preserve">,</w:t>
      </w:r>
      <w:r>
        <w:t xml:space="preserve"> </w:t>
      </w:r>
      <w:r>
        <w:rPr>
          <w:i/>
          <w:iCs/>
        </w:rPr>
        <w:t xml:space="preserve">The Howard Journal of Criminal Justice</w:t>
      </w:r>
      <w:r>
        <w:t xml:space="preserve"> </w:t>
      </w:r>
      <w:r>
        <w:t xml:space="preserve">42, no. 2 (2003): 176–80, https://doi.org/10/bcxknb.</w:t>
      </w:r>
    </w:p>
  </w:footnote>
  <w:footnote w:id="59">
    <w:p>
      <w:pPr>
        <w:pStyle w:val="FootnoteText"/>
      </w:pPr>
      <w:r>
        <w:rPr>
          <w:rStyle w:val="FootnoteReference"/>
        </w:rPr>
        <w:footnoteRef/>
      </w:r>
      <w:r>
        <w:t xml:space="preserve"> </w:t>
      </w:r>
      <w:r>
        <w:t xml:space="preserve">The boundary between this and the</w:t>
      </w:r>
      <w:r>
        <w:t xml:space="preserve"> </w:t>
      </w:r>
      <w:r>
        <w:t xml:space="preserve">‘risk reduction’</w:t>
      </w:r>
      <w:r>
        <w:t xml:space="preserve"> </w:t>
      </w:r>
      <w:r>
        <w:t xml:space="preserve">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60">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62">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63">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23"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Ben Jarman</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2025-11-18T10:57:41Z</dcterms:created>
  <dcterms:modified xsi:type="dcterms:W3CDTF">2025-11-18T10:57:41Z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consultation response</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2021-01-19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by the Independent Commission on the Experiences of Victims &amp; Long-term Prisoners</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ies>
</file>